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6E9" w:rsidRDefault="009706E9"/>
    <w:p w:rsidR="00E54208" w:rsidRDefault="00CC0F03" w:rsidP="00CC0F03">
      <w:pPr>
        <w:ind w:left="1418" w:hanging="1276"/>
        <w:rPr>
          <w:sz w:val="32"/>
          <w:szCs w:val="32"/>
        </w:rPr>
      </w:pPr>
      <w:r w:rsidRPr="00CC0F03">
        <w:rPr>
          <w:sz w:val="32"/>
          <w:szCs w:val="32"/>
        </w:rPr>
        <w:t xml:space="preserve">RESUMEN DE LA VIGILANCIA SANITARIA A LOS SERVICIOS DE </w:t>
      </w:r>
      <w:r>
        <w:rPr>
          <w:sz w:val="32"/>
          <w:szCs w:val="32"/>
        </w:rPr>
        <w:t xml:space="preserve">           </w:t>
      </w:r>
      <w:r w:rsidRPr="00CC0F03">
        <w:rPr>
          <w:sz w:val="32"/>
          <w:szCs w:val="32"/>
        </w:rPr>
        <w:t>AGUA POTABLE RURAL</w:t>
      </w:r>
      <w:r w:rsidR="00197545">
        <w:rPr>
          <w:sz w:val="32"/>
          <w:szCs w:val="32"/>
        </w:rPr>
        <w:t xml:space="preserve"> </w:t>
      </w:r>
      <w:r w:rsidRPr="00CC0F03">
        <w:rPr>
          <w:sz w:val="32"/>
          <w:szCs w:val="32"/>
        </w:rPr>
        <w:t>(</w:t>
      </w:r>
      <w:proofErr w:type="spellStart"/>
      <w:r w:rsidRPr="00CC0F03">
        <w:rPr>
          <w:sz w:val="32"/>
          <w:szCs w:val="32"/>
        </w:rPr>
        <w:t>APRs</w:t>
      </w:r>
      <w:proofErr w:type="spellEnd"/>
      <w:r w:rsidRPr="00CC0F03">
        <w:rPr>
          <w:sz w:val="32"/>
          <w:szCs w:val="32"/>
        </w:rPr>
        <w:t>)</w:t>
      </w:r>
      <w:r>
        <w:rPr>
          <w:sz w:val="32"/>
          <w:szCs w:val="32"/>
        </w:rPr>
        <w:t xml:space="preserve"> EN EL AÑO 2019</w:t>
      </w:r>
    </w:p>
    <w:p w:rsidR="00715558" w:rsidRDefault="00715558" w:rsidP="00CC0F03">
      <w:pPr>
        <w:ind w:left="1418" w:hanging="1276"/>
        <w:rPr>
          <w:sz w:val="32"/>
          <w:szCs w:val="32"/>
        </w:rPr>
      </w:pPr>
    </w:p>
    <w:p w:rsidR="00C3338E" w:rsidRDefault="00C3338E" w:rsidP="00C3338E">
      <w:pPr>
        <w:ind w:firstLine="567"/>
        <w:jc w:val="both"/>
        <w:rPr>
          <w:rFonts w:ascii="Arial" w:hAnsi="Arial" w:cs="Arial"/>
        </w:rPr>
      </w:pPr>
      <w:r w:rsidRPr="00A0322A">
        <w:rPr>
          <w:rFonts w:ascii="Arial" w:hAnsi="Arial" w:cs="Arial"/>
        </w:rPr>
        <w:t>El objetivo fundamental del Programa Nacional de Vigilancia Sanitaria de la Calidad del Agua Potable</w:t>
      </w:r>
      <w:r>
        <w:rPr>
          <w:rFonts w:ascii="Arial" w:hAnsi="Arial" w:cs="Arial"/>
        </w:rPr>
        <w:t>,</w:t>
      </w:r>
      <w:r w:rsidRPr="00A0322A">
        <w:rPr>
          <w:rFonts w:ascii="Arial" w:hAnsi="Arial" w:cs="Arial"/>
        </w:rPr>
        <w:t xml:space="preserve"> es proteger la salud de la población</w:t>
      </w:r>
      <w:r>
        <w:rPr>
          <w:rFonts w:ascii="Arial" w:hAnsi="Arial" w:cs="Arial"/>
        </w:rPr>
        <w:t>,</w:t>
      </w:r>
      <w:r w:rsidRPr="00A0322A">
        <w:rPr>
          <w:rFonts w:ascii="Arial" w:hAnsi="Arial" w:cs="Arial"/>
        </w:rPr>
        <w:t xml:space="preserve"> respecto de las enfermedades capaces de ser transmitidas por el agua para consumo humano, aplicando criterios de riesgo para el diseño de los sistemas de monitoreo y control de la calidad del agua que consume la población</w:t>
      </w:r>
      <w:r>
        <w:rPr>
          <w:rFonts w:ascii="Arial" w:hAnsi="Arial" w:cs="Arial"/>
        </w:rPr>
        <w:t xml:space="preserve"> </w:t>
      </w:r>
      <w:r>
        <w:t xml:space="preserve">y </w:t>
      </w:r>
      <w:r w:rsidRPr="0069705A">
        <w:rPr>
          <w:rFonts w:ascii="Arial" w:hAnsi="Arial" w:cs="Arial"/>
        </w:rPr>
        <w:t xml:space="preserve">verificando </w:t>
      </w:r>
      <w:r>
        <w:rPr>
          <w:rFonts w:ascii="Arial" w:hAnsi="Arial" w:cs="Arial"/>
        </w:rPr>
        <w:t xml:space="preserve">a nivel local, </w:t>
      </w:r>
      <w:r w:rsidRPr="0069705A">
        <w:rPr>
          <w:rFonts w:ascii="Arial" w:hAnsi="Arial" w:cs="Arial"/>
        </w:rPr>
        <w:t>su evolución en relación con las enfermedades de posible origen hídrico, sean estas de etiología microbiológica</w:t>
      </w:r>
      <w:r w:rsidRPr="00755524">
        <w:rPr>
          <w:rFonts w:ascii="Arial" w:hAnsi="Arial" w:cs="Arial"/>
        </w:rPr>
        <w:t xml:space="preserve">, es una medida de salud pública destinada a investigar, identificar, evaluar, prevenir y controlar potenciales riesgos para la salud de la población asociados al consumo del agua para la bebida. </w:t>
      </w:r>
    </w:p>
    <w:p w:rsidR="00C3338E" w:rsidRDefault="00C3338E" w:rsidP="00C3338E">
      <w:pPr>
        <w:tabs>
          <w:tab w:val="left" w:pos="-1134"/>
        </w:tabs>
        <w:spacing w:after="0"/>
        <w:ind w:firstLine="567"/>
        <w:jc w:val="both"/>
        <w:rPr>
          <w:rFonts w:ascii="Arial" w:hAnsi="Arial" w:cs="Arial"/>
        </w:rPr>
      </w:pPr>
      <w:r w:rsidRPr="005347C3">
        <w:rPr>
          <w:rFonts w:ascii="Arial" w:hAnsi="Arial" w:cs="Arial"/>
        </w:rPr>
        <w:t>Para la elaboración del Programa Regional de Vigilancia del Agua Potable</w:t>
      </w:r>
      <w:r>
        <w:rPr>
          <w:rFonts w:ascii="Arial" w:hAnsi="Arial" w:cs="Arial"/>
        </w:rPr>
        <w:t xml:space="preserve"> 2019</w:t>
      </w:r>
      <w:r w:rsidRPr="005347C3">
        <w:rPr>
          <w:rFonts w:ascii="Arial" w:hAnsi="Arial" w:cs="Arial"/>
        </w:rPr>
        <w:t>, se tomó en cuenta por una parte, la disponibilidad de recursos</w:t>
      </w:r>
      <w:r>
        <w:rPr>
          <w:rFonts w:ascii="Arial" w:hAnsi="Arial" w:cs="Arial"/>
        </w:rPr>
        <w:t xml:space="preserve"> con que cuenta esta SEREMI de Salud</w:t>
      </w:r>
      <w:r w:rsidRPr="005347C3">
        <w:rPr>
          <w:rFonts w:ascii="Arial" w:hAnsi="Arial" w:cs="Arial"/>
        </w:rPr>
        <w:t>, por otra, se contó con un catastro de Servicios de Agua Potable Rural (</w:t>
      </w:r>
      <w:proofErr w:type="spellStart"/>
      <w:r w:rsidRPr="005347C3">
        <w:rPr>
          <w:rFonts w:ascii="Arial" w:hAnsi="Arial" w:cs="Arial"/>
        </w:rPr>
        <w:t>APRs</w:t>
      </w:r>
      <w:proofErr w:type="spellEnd"/>
      <w:r w:rsidRPr="005347C3">
        <w:rPr>
          <w:rFonts w:ascii="Arial" w:hAnsi="Arial" w:cs="Arial"/>
        </w:rPr>
        <w:t xml:space="preserve">) </w:t>
      </w:r>
      <w:r>
        <w:rPr>
          <w:rFonts w:ascii="Arial" w:hAnsi="Arial" w:cs="Arial"/>
        </w:rPr>
        <w:t>de</w:t>
      </w:r>
      <w:r w:rsidRPr="005347C3">
        <w:rPr>
          <w:rFonts w:ascii="Arial" w:hAnsi="Arial" w:cs="Arial"/>
        </w:rPr>
        <w:t xml:space="preserve"> la Región, </w:t>
      </w:r>
      <w:r>
        <w:rPr>
          <w:rFonts w:ascii="Arial" w:hAnsi="Arial" w:cs="Arial"/>
        </w:rPr>
        <w:t xml:space="preserve">donde actualmente existen 220 </w:t>
      </w:r>
      <w:proofErr w:type="spellStart"/>
      <w:r>
        <w:rPr>
          <w:rFonts w:ascii="Arial" w:hAnsi="Arial" w:cs="Arial"/>
        </w:rPr>
        <w:t>APRs</w:t>
      </w:r>
      <w:proofErr w:type="spellEnd"/>
      <w:r>
        <w:rPr>
          <w:rFonts w:ascii="Arial" w:hAnsi="Arial" w:cs="Arial"/>
        </w:rPr>
        <w:t>, adscritos al Programa Sanitario de la Dirección de Obras Hidráulicas, del MOP, los cuales todos ellos fueron incorporados a</w:t>
      </w:r>
      <w:r w:rsidRPr="005347C3">
        <w:rPr>
          <w:rFonts w:ascii="Arial" w:hAnsi="Arial" w:cs="Arial"/>
        </w:rPr>
        <w:t xml:space="preserve"> una </w:t>
      </w:r>
      <w:r w:rsidRPr="00305F57">
        <w:rPr>
          <w:rFonts w:ascii="Arial" w:hAnsi="Arial" w:cs="Arial"/>
        </w:rPr>
        <w:t xml:space="preserve">“Matriz de Priorización”, donde se evaluaron 10 variables asociadas a Riesgo Sanitario (Población Servida, Calidad Agua 2019, Tipo de Fuente, Tratamiento Adicional, Escasez de Agua, </w:t>
      </w:r>
      <w:r w:rsidR="00F668C2">
        <w:rPr>
          <w:rFonts w:ascii="Arial" w:hAnsi="Arial" w:cs="Arial"/>
        </w:rPr>
        <w:t xml:space="preserve">Vigilancia Sanitaria los años </w:t>
      </w:r>
      <w:r w:rsidRPr="00305F57">
        <w:rPr>
          <w:rFonts w:ascii="Arial" w:hAnsi="Arial" w:cs="Arial"/>
        </w:rPr>
        <w:t>201</w:t>
      </w:r>
      <w:r w:rsidR="00F668C2">
        <w:rPr>
          <w:rFonts w:ascii="Arial" w:hAnsi="Arial" w:cs="Arial"/>
        </w:rPr>
        <w:t>6,</w:t>
      </w:r>
      <w:r w:rsidRPr="00305F57">
        <w:rPr>
          <w:rFonts w:ascii="Arial" w:hAnsi="Arial" w:cs="Arial"/>
        </w:rPr>
        <w:t xml:space="preserve"> 201</w:t>
      </w:r>
      <w:r w:rsidR="00F668C2">
        <w:rPr>
          <w:rFonts w:ascii="Arial" w:hAnsi="Arial" w:cs="Arial"/>
        </w:rPr>
        <w:t>7</w:t>
      </w:r>
      <w:r w:rsidR="00655E0D">
        <w:rPr>
          <w:rFonts w:ascii="Arial" w:hAnsi="Arial" w:cs="Arial"/>
        </w:rPr>
        <w:t xml:space="preserve"> y</w:t>
      </w:r>
      <w:r w:rsidRPr="00305F57">
        <w:rPr>
          <w:rFonts w:ascii="Arial" w:hAnsi="Arial" w:cs="Arial"/>
        </w:rPr>
        <w:t xml:space="preserve"> 201</w:t>
      </w:r>
      <w:r w:rsidR="00F668C2">
        <w:rPr>
          <w:rFonts w:ascii="Arial" w:hAnsi="Arial" w:cs="Arial"/>
        </w:rPr>
        <w:t>8</w:t>
      </w:r>
      <w:r w:rsidRPr="00305F57">
        <w:rPr>
          <w:rFonts w:ascii="Arial" w:hAnsi="Arial" w:cs="Arial"/>
        </w:rPr>
        <w:t>)</w:t>
      </w:r>
      <w:r>
        <w:rPr>
          <w:rFonts w:ascii="Arial" w:hAnsi="Arial" w:cs="Arial"/>
        </w:rPr>
        <w:t>.</w:t>
      </w:r>
    </w:p>
    <w:p w:rsidR="00C3338E" w:rsidRDefault="00C3338E" w:rsidP="00C3338E">
      <w:pPr>
        <w:tabs>
          <w:tab w:val="left" w:pos="-1134"/>
        </w:tabs>
        <w:spacing w:after="0"/>
        <w:ind w:firstLine="567"/>
        <w:jc w:val="both"/>
        <w:rPr>
          <w:rFonts w:ascii="Arial" w:hAnsi="Arial" w:cs="Arial"/>
        </w:rPr>
      </w:pPr>
    </w:p>
    <w:p w:rsidR="00C3338E" w:rsidRPr="00305F57" w:rsidRDefault="00C3338E" w:rsidP="00C3338E">
      <w:pPr>
        <w:tabs>
          <w:tab w:val="left" w:pos="-1134"/>
        </w:tabs>
        <w:spacing w:after="0"/>
        <w:ind w:firstLine="567"/>
        <w:jc w:val="both"/>
        <w:rPr>
          <w:rFonts w:ascii="Arial" w:eastAsia="Times New Roman" w:hAnsi="Arial" w:cs="Arial"/>
          <w:lang w:val="pt-PT" w:eastAsia="es-ES"/>
        </w:rPr>
      </w:pPr>
      <w:r w:rsidRPr="00305F57">
        <w:rPr>
          <w:rFonts w:ascii="Arial" w:hAnsi="Arial" w:cs="Arial"/>
        </w:rPr>
        <w:t xml:space="preserve"> </w:t>
      </w:r>
      <w:r>
        <w:rPr>
          <w:rFonts w:ascii="Arial" w:hAnsi="Arial" w:cs="Arial"/>
        </w:rPr>
        <w:t>Al</w:t>
      </w:r>
      <w:r w:rsidRPr="00305F57">
        <w:rPr>
          <w:rFonts w:ascii="Arial" w:hAnsi="Arial" w:cs="Arial"/>
        </w:rPr>
        <w:t xml:space="preserve"> ponder</w:t>
      </w:r>
      <w:r>
        <w:rPr>
          <w:rFonts w:ascii="Arial" w:hAnsi="Arial" w:cs="Arial"/>
        </w:rPr>
        <w:t>arse</w:t>
      </w:r>
      <w:r w:rsidRPr="00305F57">
        <w:rPr>
          <w:rFonts w:ascii="Arial" w:hAnsi="Arial" w:cs="Arial"/>
        </w:rPr>
        <w:t xml:space="preserve"> cada una de ellas, queda</w:t>
      </w:r>
      <w:r>
        <w:rPr>
          <w:rFonts w:ascii="Arial" w:hAnsi="Arial" w:cs="Arial"/>
        </w:rPr>
        <w:t>ron</w:t>
      </w:r>
      <w:r w:rsidRPr="00305F57">
        <w:rPr>
          <w:rFonts w:ascii="Arial" w:hAnsi="Arial" w:cs="Arial"/>
        </w:rPr>
        <w:t xml:space="preserve"> seleccionados un total de 104</w:t>
      </w:r>
      <w:r w:rsidRPr="00305F57">
        <w:rPr>
          <w:rFonts w:ascii="Arial" w:eastAsia="Times New Roman" w:hAnsi="Arial" w:cs="Arial"/>
          <w:lang w:val="pt-PT" w:eastAsia="es-ES"/>
        </w:rPr>
        <w:t xml:space="preserve"> Servicios</w:t>
      </w:r>
      <w:r>
        <w:rPr>
          <w:rFonts w:ascii="Arial" w:eastAsia="Times New Roman" w:hAnsi="Arial" w:cs="Arial"/>
          <w:lang w:val="pt-PT" w:eastAsia="es-ES"/>
        </w:rPr>
        <w:t xml:space="preserve"> de APRs</w:t>
      </w:r>
      <w:r w:rsidRPr="00305F57">
        <w:rPr>
          <w:rFonts w:ascii="Arial" w:eastAsia="Times New Roman" w:hAnsi="Arial" w:cs="Arial"/>
          <w:lang w:val="pt-PT" w:eastAsia="es-ES"/>
        </w:rPr>
        <w:t xml:space="preserve">, las que se enmarcaron en Riesgo </w:t>
      </w:r>
      <w:r>
        <w:rPr>
          <w:rFonts w:ascii="Arial" w:eastAsia="Times New Roman" w:hAnsi="Arial" w:cs="Arial"/>
          <w:lang w:val="pt-PT" w:eastAsia="es-ES"/>
        </w:rPr>
        <w:t>Medio Alto, Medio y Medio Bajo</w:t>
      </w:r>
      <w:r w:rsidRPr="00305F57">
        <w:rPr>
          <w:rFonts w:ascii="Arial" w:eastAsia="Times New Roman" w:hAnsi="Arial" w:cs="Arial"/>
          <w:lang w:val="pt-PT" w:eastAsia="es-ES"/>
        </w:rPr>
        <w:t>, las cuales se les realizará Vigilancia Sanitaria</w:t>
      </w:r>
      <w:r w:rsidR="00FE2905">
        <w:rPr>
          <w:rFonts w:ascii="Arial" w:eastAsia="Times New Roman" w:hAnsi="Arial" w:cs="Arial"/>
          <w:lang w:val="pt-PT" w:eastAsia="es-ES"/>
        </w:rPr>
        <w:t xml:space="preserve"> cuya frecuencia sera de una vez en el </w:t>
      </w:r>
      <w:r w:rsidRPr="00305F57">
        <w:rPr>
          <w:rFonts w:ascii="Arial" w:eastAsia="Times New Roman" w:hAnsi="Arial" w:cs="Arial"/>
          <w:lang w:val="pt-PT" w:eastAsia="es-ES"/>
        </w:rPr>
        <w:t>año</w:t>
      </w:r>
      <w:r w:rsidR="00FE2905">
        <w:rPr>
          <w:rFonts w:ascii="Arial" w:eastAsia="Times New Roman" w:hAnsi="Arial" w:cs="Arial"/>
          <w:lang w:val="pt-PT" w:eastAsia="es-ES"/>
        </w:rPr>
        <w:t xml:space="preserve"> 2019</w:t>
      </w:r>
      <w:r w:rsidRPr="00305F57">
        <w:rPr>
          <w:rFonts w:ascii="Arial" w:eastAsia="Times New Roman" w:hAnsi="Arial" w:cs="Arial"/>
          <w:lang w:val="pt-PT" w:eastAsia="es-ES"/>
        </w:rPr>
        <w:t>, durante 11 meses, entre Enero a Octubre.</w:t>
      </w:r>
    </w:p>
    <w:p w:rsidR="00C3338E" w:rsidRDefault="00C3338E" w:rsidP="00C3338E">
      <w:pPr>
        <w:tabs>
          <w:tab w:val="left" w:pos="-1134"/>
        </w:tabs>
        <w:spacing w:after="0"/>
        <w:ind w:firstLine="567"/>
        <w:jc w:val="both"/>
        <w:rPr>
          <w:rFonts w:ascii="Arial" w:eastAsia="Times New Roman" w:hAnsi="Arial" w:cs="Arial"/>
          <w:lang w:val="pt-PT" w:eastAsia="es-ES"/>
        </w:rPr>
      </w:pPr>
    </w:p>
    <w:p w:rsidR="00C3338E" w:rsidRDefault="00C3338E" w:rsidP="00C3338E">
      <w:pPr>
        <w:tabs>
          <w:tab w:val="left" w:pos="-1134"/>
        </w:tabs>
        <w:spacing w:after="0"/>
        <w:ind w:firstLine="567"/>
        <w:jc w:val="both"/>
        <w:rPr>
          <w:rFonts w:ascii="Arial" w:eastAsia="Times New Roman" w:hAnsi="Arial" w:cs="Arial"/>
          <w:lang w:val="pt-PT" w:eastAsia="es-ES"/>
        </w:rPr>
      </w:pPr>
      <w:r>
        <w:rPr>
          <w:rFonts w:ascii="Arial" w:eastAsia="Times New Roman" w:hAnsi="Arial" w:cs="Arial"/>
          <w:lang w:val="pt-PT" w:eastAsia="es-ES"/>
        </w:rPr>
        <w:t xml:space="preserve">Con </w:t>
      </w:r>
      <w:proofErr w:type="gramStart"/>
      <w:r>
        <w:rPr>
          <w:rFonts w:ascii="Arial" w:eastAsia="Times New Roman" w:hAnsi="Arial" w:cs="Arial"/>
          <w:lang w:val="pt-PT" w:eastAsia="es-ES"/>
        </w:rPr>
        <w:t>el</w:t>
      </w:r>
      <w:proofErr w:type="gramEnd"/>
      <w:r>
        <w:rPr>
          <w:rFonts w:ascii="Arial" w:eastAsia="Times New Roman" w:hAnsi="Arial" w:cs="Arial"/>
          <w:lang w:val="pt-PT" w:eastAsia="es-ES"/>
        </w:rPr>
        <w:t xml:space="preserve"> fin de reforzar la actividad de Vigilancia Sanitaria, el MINSAL, entregó recursos extras, para el fortalicemiento del Programa de Vigilancia Sanitaria, pudiendo aumentar el muestreo y análisis de calidad de agua, en total se realizó Vigilancia Sanitaria en los item:</w:t>
      </w:r>
    </w:p>
    <w:p w:rsidR="00C3338E" w:rsidRDefault="00C3338E" w:rsidP="00C3338E">
      <w:pPr>
        <w:tabs>
          <w:tab w:val="left" w:pos="-1134"/>
        </w:tabs>
        <w:spacing w:after="0"/>
        <w:ind w:firstLine="567"/>
        <w:jc w:val="both"/>
        <w:rPr>
          <w:rFonts w:ascii="Arial" w:eastAsia="Times New Roman" w:hAnsi="Arial" w:cs="Arial"/>
          <w:lang w:val="pt-PT" w:eastAsia="es-ES"/>
        </w:rPr>
      </w:pPr>
    </w:p>
    <w:p w:rsidR="00C3338E" w:rsidRDefault="00C3338E" w:rsidP="00C3338E">
      <w:pPr>
        <w:tabs>
          <w:tab w:val="left" w:pos="-1134"/>
        </w:tabs>
        <w:spacing w:after="0"/>
        <w:ind w:left="851" w:hanging="284"/>
        <w:jc w:val="both"/>
        <w:rPr>
          <w:rFonts w:ascii="Arial" w:eastAsia="Times New Roman" w:hAnsi="Arial" w:cs="Arial"/>
          <w:lang w:val="pt-PT" w:eastAsia="es-ES"/>
        </w:rPr>
      </w:pPr>
      <w:r>
        <w:rPr>
          <w:rFonts w:ascii="Arial" w:eastAsia="Times New Roman" w:hAnsi="Arial" w:cs="Arial"/>
          <w:lang w:val="pt-PT" w:eastAsia="es-ES"/>
        </w:rPr>
        <w:t xml:space="preserve">- Inspección: 104 APRs </w:t>
      </w:r>
    </w:p>
    <w:p w:rsidR="00C3338E" w:rsidRDefault="00C3338E" w:rsidP="00C3338E">
      <w:pPr>
        <w:tabs>
          <w:tab w:val="left" w:pos="-1134"/>
        </w:tabs>
        <w:spacing w:after="0"/>
        <w:ind w:left="851" w:hanging="284"/>
        <w:jc w:val="both"/>
        <w:rPr>
          <w:rFonts w:ascii="Arial" w:eastAsia="Times New Roman" w:hAnsi="Arial" w:cs="Arial"/>
          <w:lang w:val="pt-PT" w:eastAsia="es-ES"/>
        </w:rPr>
      </w:pPr>
      <w:r>
        <w:rPr>
          <w:rFonts w:ascii="Arial" w:eastAsia="Times New Roman" w:hAnsi="Arial" w:cs="Arial"/>
          <w:lang w:val="pt-PT" w:eastAsia="es-ES"/>
        </w:rPr>
        <w:t xml:space="preserve">- Mediciones de Cloro Libre Residual: 104 APRs </w:t>
      </w:r>
    </w:p>
    <w:p w:rsidR="00C3338E" w:rsidRDefault="00C3338E" w:rsidP="00C3338E">
      <w:pPr>
        <w:tabs>
          <w:tab w:val="left" w:pos="-1134"/>
        </w:tabs>
        <w:spacing w:after="0"/>
        <w:ind w:left="851" w:hanging="284"/>
        <w:jc w:val="both"/>
        <w:rPr>
          <w:rFonts w:ascii="Arial" w:eastAsia="Times New Roman" w:hAnsi="Arial" w:cs="Arial"/>
          <w:lang w:val="pt-PT" w:eastAsia="es-ES"/>
        </w:rPr>
      </w:pPr>
      <w:r>
        <w:rPr>
          <w:rFonts w:ascii="Arial" w:eastAsia="Times New Roman" w:hAnsi="Arial" w:cs="Arial"/>
          <w:lang w:val="pt-PT" w:eastAsia="es-ES"/>
        </w:rPr>
        <w:t>- Muestreo y analisis Bacteriologico y FQ de agua: 179 APRs.</w:t>
      </w:r>
    </w:p>
    <w:p w:rsidR="00350FDE" w:rsidRDefault="00350FDE" w:rsidP="00C3338E">
      <w:pPr>
        <w:tabs>
          <w:tab w:val="left" w:pos="-1134"/>
        </w:tabs>
        <w:spacing w:after="0"/>
        <w:ind w:left="851" w:hanging="284"/>
        <w:jc w:val="both"/>
        <w:rPr>
          <w:rFonts w:ascii="Arial" w:eastAsia="Times New Roman" w:hAnsi="Arial" w:cs="Arial"/>
          <w:lang w:val="pt-PT" w:eastAsia="es-ES"/>
        </w:rPr>
      </w:pPr>
    </w:p>
    <w:p w:rsidR="00350FDE" w:rsidRDefault="00350FDE" w:rsidP="00C3338E">
      <w:pPr>
        <w:tabs>
          <w:tab w:val="left" w:pos="-1134"/>
        </w:tabs>
        <w:spacing w:after="0"/>
        <w:ind w:left="851" w:hanging="284"/>
        <w:jc w:val="both"/>
        <w:rPr>
          <w:rFonts w:ascii="Arial" w:eastAsia="Times New Roman" w:hAnsi="Arial" w:cs="Arial"/>
          <w:lang w:val="pt-PT" w:eastAsia="es-ES"/>
        </w:rPr>
      </w:pPr>
    </w:p>
    <w:p w:rsidR="00350FDE" w:rsidRDefault="00350FDE" w:rsidP="00C3338E">
      <w:pPr>
        <w:tabs>
          <w:tab w:val="left" w:pos="-1134"/>
        </w:tabs>
        <w:spacing w:after="0"/>
        <w:ind w:left="851" w:hanging="284"/>
        <w:jc w:val="both"/>
        <w:rPr>
          <w:rFonts w:ascii="Arial" w:eastAsia="Times New Roman" w:hAnsi="Arial" w:cs="Arial"/>
          <w:lang w:val="pt-PT" w:eastAsia="es-ES"/>
        </w:rPr>
      </w:pPr>
    </w:p>
    <w:p w:rsidR="00350FDE" w:rsidRDefault="00350FDE" w:rsidP="00C3338E">
      <w:pPr>
        <w:tabs>
          <w:tab w:val="left" w:pos="-1134"/>
        </w:tabs>
        <w:spacing w:after="0"/>
        <w:ind w:left="851" w:hanging="284"/>
        <w:jc w:val="both"/>
        <w:rPr>
          <w:rFonts w:ascii="Arial" w:eastAsia="Times New Roman" w:hAnsi="Arial" w:cs="Arial"/>
          <w:lang w:val="pt-PT" w:eastAsia="es-ES"/>
        </w:rPr>
      </w:pPr>
    </w:p>
    <w:p w:rsidR="00350FDE" w:rsidRDefault="00350FDE" w:rsidP="00C3338E">
      <w:pPr>
        <w:tabs>
          <w:tab w:val="left" w:pos="-1134"/>
        </w:tabs>
        <w:spacing w:after="0"/>
        <w:ind w:left="851" w:hanging="284"/>
        <w:jc w:val="both"/>
        <w:rPr>
          <w:rFonts w:ascii="Arial" w:eastAsia="Times New Roman" w:hAnsi="Arial" w:cs="Arial"/>
          <w:lang w:val="pt-PT" w:eastAsia="es-ES"/>
        </w:rPr>
      </w:pPr>
    </w:p>
    <w:p w:rsidR="00350FDE" w:rsidRDefault="00350FDE" w:rsidP="00C3338E">
      <w:pPr>
        <w:tabs>
          <w:tab w:val="left" w:pos="-1134"/>
        </w:tabs>
        <w:spacing w:after="0"/>
        <w:ind w:left="851" w:hanging="284"/>
        <w:jc w:val="both"/>
        <w:rPr>
          <w:rFonts w:ascii="Arial" w:eastAsia="Times New Roman" w:hAnsi="Arial" w:cs="Arial"/>
          <w:lang w:val="pt-PT" w:eastAsia="es-ES"/>
        </w:rPr>
      </w:pPr>
    </w:p>
    <w:p w:rsidR="00350FDE" w:rsidRDefault="00350FDE" w:rsidP="00C3338E">
      <w:pPr>
        <w:tabs>
          <w:tab w:val="left" w:pos="-1134"/>
        </w:tabs>
        <w:spacing w:after="0"/>
        <w:ind w:left="851" w:hanging="284"/>
        <w:jc w:val="both"/>
        <w:rPr>
          <w:rFonts w:ascii="Arial" w:eastAsia="Times New Roman" w:hAnsi="Arial" w:cs="Arial"/>
          <w:lang w:val="pt-PT" w:eastAsia="es-ES"/>
        </w:rPr>
      </w:pPr>
    </w:p>
    <w:p w:rsidR="00350FDE" w:rsidRDefault="00350FDE" w:rsidP="00C3338E">
      <w:pPr>
        <w:tabs>
          <w:tab w:val="left" w:pos="-1134"/>
        </w:tabs>
        <w:spacing w:after="0"/>
        <w:ind w:left="851" w:hanging="284"/>
        <w:jc w:val="both"/>
        <w:rPr>
          <w:rFonts w:ascii="Arial" w:eastAsia="Times New Roman" w:hAnsi="Arial" w:cs="Arial"/>
          <w:lang w:val="pt-PT" w:eastAsia="es-ES"/>
        </w:rPr>
      </w:pPr>
    </w:p>
    <w:p w:rsidR="00C3338E" w:rsidRDefault="00C3338E" w:rsidP="00C3338E">
      <w:pPr>
        <w:tabs>
          <w:tab w:val="left" w:pos="-1134"/>
        </w:tabs>
        <w:spacing w:after="0"/>
        <w:ind w:firstLine="567"/>
        <w:jc w:val="both"/>
        <w:rPr>
          <w:rFonts w:ascii="Arial" w:eastAsia="Times New Roman" w:hAnsi="Arial" w:cs="Arial"/>
          <w:lang w:val="pt-PT" w:eastAsia="es-ES"/>
        </w:rPr>
      </w:pPr>
    </w:p>
    <w:p w:rsidR="00C3338E" w:rsidRPr="00365329" w:rsidRDefault="00C3338E" w:rsidP="00C3338E">
      <w:pPr>
        <w:tabs>
          <w:tab w:val="left" w:pos="-1134"/>
        </w:tabs>
        <w:spacing w:after="0"/>
        <w:ind w:firstLine="567"/>
        <w:jc w:val="both"/>
        <w:rPr>
          <w:rFonts w:ascii="Arial" w:eastAsia="Times New Roman" w:hAnsi="Arial" w:cs="Arial"/>
          <w:color w:val="FF0000"/>
          <w:lang w:val="pt-PT" w:eastAsia="es-ES"/>
        </w:rPr>
      </w:pPr>
      <w:r>
        <w:rPr>
          <w:rFonts w:ascii="Arial" w:eastAsia="Times New Roman" w:hAnsi="Arial" w:cs="Arial"/>
          <w:lang w:val="pt-PT" w:eastAsia="es-ES"/>
        </w:rPr>
        <w:t xml:space="preserve">En total se realizó Vigilancia a 179 APRs de </w:t>
      </w:r>
      <w:proofErr w:type="gramStart"/>
      <w:r>
        <w:rPr>
          <w:rFonts w:ascii="Arial" w:eastAsia="Times New Roman" w:hAnsi="Arial" w:cs="Arial"/>
          <w:lang w:val="pt-PT" w:eastAsia="es-ES"/>
        </w:rPr>
        <w:t>la</w:t>
      </w:r>
      <w:proofErr w:type="gramEnd"/>
      <w:r>
        <w:rPr>
          <w:rFonts w:ascii="Arial" w:eastAsia="Times New Roman" w:hAnsi="Arial" w:cs="Arial"/>
          <w:lang w:val="pt-PT" w:eastAsia="es-ES"/>
        </w:rPr>
        <w:t xml:space="preserve"> Región </w:t>
      </w:r>
      <w:r w:rsidR="00350FDE">
        <w:rPr>
          <w:rFonts w:ascii="Arial" w:eastAsia="Times New Roman" w:hAnsi="Arial" w:cs="Arial"/>
          <w:lang w:val="pt-PT" w:eastAsia="es-ES"/>
        </w:rPr>
        <w:t xml:space="preserve">correspondiendo </w:t>
      </w:r>
      <w:r>
        <w:rPr>
          <w:rFonts w:ascii="Arial" w:eastAsia="Times New Roman" w:hAnsi="Arial" w:cs="Arial"/>
          <w:lang w:val="pt-PT" w:eastAsia="es-ES"/>
        </w:rPr>
        <w:t>al 81% de la totalidad de las 220 APRs existentes.    Cuando se constat</w:t>
      </w:r>
      <w:r w:rsidR="00350FDE">
        <w:rPr>
          <w:rFonts w:ascii="Arial" w:eastAsia="Times New Roman" w:hAnsi="Arial" w:cs="Arial"/>
          <w:lang w:val="pt-PT" w:eastAsia="es-ES"/>
        </w:rPr>
        <w:t>ó</w:t>
      </w:r>
      <w:r>
        <w:rPr>
          <w:rFonts w:ascii="Arial" w:eastAsia="Times New Roman" w:hAnsi="Arial" w:cs="Arial"/>
          <w:lang w:val="pt-PT" w:eastAsia="es-ES"/>
        </w:rPr>
        <w:t xml:space="preserve"> </w:t>
      </w:r>
      <w:proofErr w:type="gramStart"/>
      <w:r>
        <w:rPr>
          <w:rFonts w:ascii="Arial" w:eastAsia="Times New Roman" w:hAnsi="Arial" w:cs="Arial"/>
          <w:lang w:val="pt-PT" w:eastAsia="es-ES"/>
        </w:rPr>
        <w:t>No Conformidades</w:t>
      </w:r>
      <w:proofErr w:type="gramEnd"/>
      <w:r>
        <w:rPr>
          <w:rFonts w:ascii="Arial" w:eastAsia="Times New Roman" w:hAnsi="Arial" w:cs="Arial"/>
          <w:lang w:val="pt-PT" w:eastAsia="es-ES"/>
        </w:rPr>
        <w:t xml:space="preserve"> en la calidad de agua, se les realizó posteriormente nueva visita de fiscalización, donde se les realizó Reinspección, Remuestreos y analisis del parametro excedido. </w:t>
      </w:r>
    </w:p>
    <w:p w:rsidR="00C3338E" w:rsidRPr="00465877" w:rsidRDefault="00C3338E" w:rsidP="00C3338E">
      <w:pPr>
        <w:tabs>
          <w:tab w:val="left" w:pos="-1134"/>
        </w:tabs>
        <w:spacing w:after="0"/>
        <w:ind w:firstLine="567"/>
        <w:jc w:val="both"/>
        <w:rPr>
          <w:rFonts w:ascii="Arial" w:eastAsia="Times New Roman" w:hAnsi="Arial" w:cs="Arial"/>
          <w:lang w:val="pt-PT" w:eastAsia="es-ES"/>
        </w:rPr>
      </w:pPr>
      <w:r>
        <w:rPr>
          <w:rFonts w:ascii="Arial" w:eastAsia="Times New Roman" w:hAnsi="Arial" w:cs="Arial"/>
          <w:lang w:val="pt-PT" w:eastAsia="es-ES"/>
        </w:rPr>
        <w:t xml:space="preserve"> </w:t>
      </w:r>
    </w:p>
    <w:p w:rsidR="00CC0F03" w:rsidRDefault="00C3338E" w:rsidP="00C3338E">
      <w:pPr>
        <w:tabs>
          <w:tab w:val="left" w:pos="-1134"/>
          <w:tab w:val="left" w:pos="567"/>
        </w:tabs>
        <w:kinsoku w:val="0"/>
        <w:overflowPunct w:val="0"/>
        <w:spacing w:after="0"/>
        <w:contextualSpacing/>
        <w:jc w:val="both"/>
        <w:textAlignment w:val="baseline"/>
        <w:rPr>
          <w:rFonts w:ascii="Arial" w:eastAsia="ヒラギノ角ゴ Pro W3" w:hAnsi="Arial" w:cs="Arial"/>
          <w:kern w:val="24"/>
          <w:lang w:val="es-ES_tradnl" w:eastAsia="es-CL"/>
        </w:rPr>
      </w:pPr>
      <w:r>
        <w:rPr>
          <w:rFonts w:ascii="Arial" w:eastAsia="Times New Roman" w:hAnsi="Arial" w:cs="Arial"/>
          <w:lang w:val="pt-PT" w:eastAsia="es-ES"/>
        </w:rPr>
        <w:tab/>
      </w:r>
      <w:r w:rsidRPr="00DA5C5A">
        <w:rPr>
          <w:rFonts w:ascii="Arial" w:eastAsia="Times New Roman" w:hAnsi="Arial" w:cs="Arial"/>
          <w:lang w:val="pt-PT" w:eastAsia="es-ES"/>
        </w:rPr>
        <w:t xml:space="preserve">Se </w:t>
      </w:r>
      <w:r w:rsidR="00B47BE7">
        <w:rPr>
          <w:rFonts w:ascii="Arial" w:eastAsia="Times New Roman" w:hAnsi="Arial" w:cs="Arial"/>
          <w:lang w:val="pt-PT" w:eastAsia="es-ES"/>
        </w:rPr>
        <w:t xml:space="preserve">planificó dentro de las distintas actividades de Vigilancia Sanitaria, </w:t>
      </w:r>
      <w:r w:rsidRPr="00DA5C5A">
        <w:rPr>
          <w:rFonts w:ascii="Arial" w:eastAsia="Times New Roman" w:hAnsi="Arial" w:cs="Arial"/>
          <w:lang w:val="pt-PT" w:eastAsia="es-ES"/>
        </w:rPr>
        <w:t xml:space="preserve">realizar </w:t>
      </w:r>
      <w:proofErr w:type="gramStart"/>
      <w:r w:rsidRPr="00DA5C5A">
        <w:rPr>
          <w:rFonts w:ascii="Arial" w:eastAsia="Times New Roman" w:hAnsi="Arial" w:cs="Arial"/>
          <w:lang w:val="pt-PT" w:eastAsia="es-ES"/>
        </w:rPr>
        <w:t>1</w:t>
      </w:r>
      <w:proofErr w:type="gramEnd"/>
      <w:r w:rsidRPr="00DA5C5A">
        <w:rPr>
          <w:rFonts w:ascii="Arial" w:eastAsia="Times New Roman" w:hAnsi="Arial" w:cs="Arial"/>
          <w:lang w:val="pt-PT" w:eastAsia="es-ES"/>
        </w:rPr>
        <w:t xml:space="preserve"> </w:t>
      </w:r>
      <w:r w:rsidRPr="00DA5C5A">
        <w:rPr>
          <w:rFonts w:ascii="Arial" w:eastAsia="ヒラギノ角ゴ Pro W3" w:hAnsi="Arial" w:cs="Arial"/>
          <w:kern w:val="24"/>
          <w:lang w:val="es-ES_tradnl" w:eastAsia="es-CL"/>
        </w:rPr>
        <w:t xml:space="preserve">reunión anual con </w:t>
      </w:r>
      <w:r w:rsidRPr="00DA5C5A">
        <w:rPr>
          <w:rFonts w:ascii="Arial" w:eastAsia="ヒラギノ角ゴ Pro W3" w:hAnsi="Arial" w:cs="Arial"/>
          <w:kern w:val="24"/>
          <w:lang w:val="es-ES_tradnl" w:eastAsia="es-ES"/>
        </w:rPr>
        <w:t>la Dirección de Obras Hidráulicas, del MOP,</w:t>
      </w:r>
      <w:r w:rsidRPr="00DA5C5A">
        <w:rPr>
          <w:rFonts w:ascii="Arial" w:eastAsia="ヒラギノ角ゴ Pro W3" w:hAnsi="Arial" w:cs="Arial"/>
          <w:kern w:val="24"/>
          <w:lang w:val="es-ES_tradnl" w:eastAsia="es-CL"/>
        </w:rPr>
        <w:t xml:space="preserve"> con el fin de  entregar un Informe Final, con la Clasificación de Riesgo Sanitario, de cada  uno de los Servicios de Agua Potable Rural fiscalizados en el año 2019 y que desde la perspectiva Sanitaria, presentaron mayores riesgos a la población y que debiesen ser considerados por el MOP, para realizar las inversiones que permitan la construcción o mejoramiento de los sistemas de </w:t>
      </w:r>
      <w:proofErr w:type="spellStart"/>
      <w:r w:rsidRPr="00DA5C5A">
        <w:rPr>
          <w:rFonts w:ascii="Arial" w:eastAsia="ヒラギノ角ゴ Pro W3" w:hAnsi="Arial" w:cs="Arial"/>
          <w:kern w:val="24"/>
          <w:lang w:val="es-ES_tradnl" w:eastAsia="es-CL"/>
        </w:rPr>
        <w:t>APRs</w:t>
      </w:r>
      <w:proofErr w:type="spellEnd"/>
      <w:r w:rsidRPr="00DA5C5A">
        <w:rPr>
          <w:rFonts w:ascii="Arial" w:eastAsia="ヒラギノ角ゴ Pro W3" w:hAnsi="Arial" w:cs="Arial"/>
          <w:kern w:val="24"/>
          <w:lang w:val="es-ES_tradnl" w:eastAsia="es-CL"/>
        </w:rPr>
        <w:t xml:space="preserve">. </w:t>
      </w:r>
    </w:p>
    <w:p w:rsidR="00CC0F03" w:rsidRDefault="00CC0F03" w:rsidP="00C3338E">
      <w:pPr>
        <w:tabs>
          <w:tab w:val="left" w:pos="-1134"/>
          <w:tab w:val="left" w:pos="567"/>
        </w:tabs>
        <w:kinsoku w:val="0"/>
        <w:overflowPunct w:val="0"/>
        <w:spacing w:after="0"/>
        <w:contextualSpacing/>
        <w:jc w:val="both"/>
        <w:textAlignment w:val="baseline"/>
        <w:rPr>
          <w:rFonts w:ascii="Arial" w:eastAsia="ヒラギノ角ゴ Pro W3" w:hAnsi="Arial" w:cs="Arial"/>
          <w:kern w:val="24"/>
          <w:lang w:val="es-ES_tradnl" w:eastAsia="es-CL"/>
        </w:rPr>
      </w:pPr>
    </w:p>
    <w:p w:rsidR="00CC0F03" w:rsidRPr="000D35FA" w:rsidRDefault="00CC0F03" w:rsidP="00CC0F03">
      <w:pPr>
        <w:pStyle w:val="Prrafodelista"/>
        <w:ind w:hanging="720"/>
        <w:jc w:val="both"/>
        <w:rPr>
          <w:rFonts w:ascii="Arial" w:eastAsia="Times New Roman" w:hAnsi="Arial" w:cs="Arial"/>
          <w:b/>
          <w:lang w:val="es-MX" w:eastAsia="es-ES"/>
        </w:rPr>
      </w:pPr>
      <w:r w:rsidRPr="000D35FA">
        <w:rPr>
          <w:rFonts w:ascii="Arial" w:eastAsia="Times New Roman" w:hAnsi="Arial" w:cs="Arial"/>
          <w:b/>
          <w:lang w:val="es-MX" w:eastAsia="es-ES"/>
        </w:rPr>
        <w:t xml:space="preserve">Calidad del Agua: </w:t>
      </w:r>
    </w:p>
    <w:p w:rsidR="00CC0F03" w:rsidRDefault="00CC0F03" w:rsidP="00CC0F03">
      <w:pPr>
        <w:jc w:val="both"/>
        <w:rPr>
          <w:rFonts w:ascii="Arial" w:hAnsi="Arial" w:cs="Arial"/>
        </w:rPr>
      </w:pPr>
      <w:r w:rsidRPr="005C47C8">
        <w:rPr>
          <w:rFonts w:ascii="Arial" w:hAnsi="Arial" w:cs="Arial"/>
        </w:rPr>
        <w:t>La calidad de</w:t>
      </w:r>
      <w:r>
        <w:rPr>
          <w:rFonts w:ascii="Arial" w:hAnsi="Arial" w:cs="Arial"/>
        </w:rPr>
        <w:t>l agua de consumo,</w:t>
      </w:r>
      <w:r w:rsidRPr="005C47C8">
        <w:rPr>
          <w:rFonts w:ascii="Arial" w:hAnsi="Arial" w:cs="Arial"/>
        </w:rPr>
        <w:t xml:space="preserve"> es determinante en la atención que deba recibir un abasto, </w:t>
      </w:r>
      <w:r>
        <w:rPr>
          <w:rFonts w:ascii="Arial" w:hAnsi="Arial" w:cs="Arial"/>
        </w:rPr>
        <w:t>u</w:t>
      </w:r>
      <w:r w:rsidRPr="005C47C8">
        <w:rPr>
          <w:rFonts w:ascii="Arial" w:hAnsi="Arial" w:cs="Arial"/>
        </w:rPr>
        <w:t>na fuente de agua</w:t>
      </w:r>
      <w:r>
        <w:rPr>
          <w:rFonts w:ascii="Arial" w:hAnsi="Arial" w:cs="Arial"/>
        </w:rPr>
        <w:t xml:space="preserve">, de reconocida mala calidad, por presencia de elementos críticos en su fuente, </w:t>
      </w:r>
      <w:r w:rsidRPr="005C47C8">
        <w:rPr>
          <w:rFonts w:ascii="Arial" w:hAnsi="Arial" w:cs="Arial"/>
        </w:rPr>
        <w:t>deberá ser causa de mayor atención y de más estrecho seguimiento</w:t>
      </w:r>
      <w:r>
        <w:rPr>
          <w:rFonts w:ascii="Arial" w:hAnsi="Arial" w:cs="Arial"/>
        </w:rPr>
        <w:t>,</w:t>
      </w:r>
      <w:r w:rsidRPr="005C47C8">
        <w:rPr>
          <w:rFonts w:ascii="Arial" w:hAnsi="Arial" w:cs="Arial"/>
        </w:rPr>
        <w:t xml:space="preserve"> ya que </w:t>
      </w:r>
      <w:r>
        <w:rPr>
          <w:rFonts w:ascii="Arial" w:hAnsi="Arial" w:cs="Arial"/>
        </w:rPr>
        <w:t xml:space="preserve">las inconformidades en los resultados de agua, </w:t>
      </w:r>
      <w:r w:rsidRPr="005C47C8">
        <w:rPr>
          <w:rFonts w:ascii="Arial" w:hAnsi="Arial" w:cs="Arial"/>
        </w:rPr>
        <w:t>cualquier falla o interrupción en el tratamiento, puede dar origen al consumo de agua de calidad deficiente.</w:t>
      </w:r>
      <w:r>
        <w:rPr>
          <w:rFonts w:ascii="Arial" w:hAnsi="Arial" w:cs="Arial"/>
        </w:rPr>
        <w:t xml:space="preserve">  </w:t>
      </w:r>
    </w:p>
    <w:p w:rsidR="00CC0F03" w:rsidRDefault="00CC0F03" w:rsidP="00CC0F03">
      <w:pPr>
        <w:ind w:firstLine="708"/>
        <w:jc w:val="both"/>
        <w:rPr>
          <w:rFonts w:ascii="Arial" w:hAnsi="Arial" w:cs="Arial"/>
        </w:rPr>
      </w:pPr>
      <w:r>
        <w:rPr>
          <w:rFonts w:ascii="Arial" w:hAnsi="Arial" w:cs="Arial"/>
        </w:rPr>
        <w:t xml:space="preserve">Como se mencionó anteriormente, del total de 179 APR con análisis de calidad de agua, realizados en el año 2019, en donde se les realizó Muestreo y Análisis de agua, tanto Bacteriológico, Físico Químico, como Medición de Cloro Libre Residual, en la red de distribución, el 92.2% de los Servicios muestreados, cumplieron con los límites máximos permitidos en la normativa vigente, solo el 7.8 % (14 </w:t>
      </w:r>
      <w:proofErr w:type="spellStart"/>
      <w:r>
        <w:rPr>
          <w:rFonts w:ascii="Arial" w:hAnsi="Arial" w:cs="Arial"/>
        </w:rPr>
        <w:t>APRs</w:t>
      </w:r>
      <w:proofErr w:type="spellEnd"/>
      <w:r>
        <w:rPr>
          <w:rFonts w:ascii="Arial" w:hAnsi="Arial" w:cs="Arial"/>
        </w:rPr>
        <w:t xml:space="preserve">), no cumplió con los requisitos de calidad de agua, estos son: </w:t>
      </w:r>
    </w:p>
    <w:p w:rsidR="00C17A44" w:rsidRDefault="00C17A44" w:rsidP="00CC0F03">
      <w:pPr>
        <w:ind w:firstLine="708"/>
        <w:jc w:val="both"/>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441"/>
        <w:gridCol w:w="2155"/>
        <w:gridCol w:w="1238"/>
        <w:gridCol w:w="1695"/>
        <w:gridCol w:w="1694"/>
        <w:gridCol w:w="1708"/>
      </w:tblGrid>
      <w:tr w:rsidR="00CC0F03" w:rsidRPr="009E2D57" w:rsidTr="00004C27">
        <w:tc>
          <w:tcPr>
            <w:tcW w:w="441" w:type="dxa"/>
          </w:tcPr>
          <w:p w:rsidR="00CC0F03" w:rsidRDefault="00CC0F03" w:rsidP="00004C27">
            <w:pPr>
              <w:rPr>
                <w:b/>
              </w:rPr>
            </w:pPr>
          </w:p>
          <w:p w:rsidR="00C17A44" w:rsidRPr="009E2D57" w:rsidRDefault="00C17A44" w:rsidP="00004C27">
            <w:pPr>
              <w:rPr>
                <w:b/>
              </w:rPr>
            </w:pPr>
          </w:p>
        </w:tc>
        <w:tc>
          <w:tcPr>
            <w:tcW w:w="2155" w:type="dxa"/>
          </w:tcPr>
          <w:p w:rsidR="00CC0F03" w:rsidRPr="009E2D57" w:rsidRDefault="00CC0F03" w:rsidP="00004C27">
            <w:pPr>
              <w:rPr>
                <w:b/>
              </w:rPr>
            </w:pPr>
            <w:r w:rsidRPr="009E2D57">
              <w:rPr>
                <w:b/>
              </w:rPr>
              <w:t>NOMBRE APR</w:t>
            </w:r>
          </w:p>
        </w:tc>
        <w:tc>
          <w:tcPr>
            <w:tcW w:w="1238" w:type="dxa"/>
          </w:tcPr>
          <w:p w:rsidR="00CC0F03" w:rsidRPr="009E2D57" w:rsidRDefault="00CC0F03" w:rsidP="00004C27">
            <w:pPr>
              <w:rPr>
                <w:b/>
              </w:rPr>
            </w:pPr>
            <w:r w:rsidRPr="009E2D57">
              <w:rPr>
                <w:b/>
              </w:rPr>
              <w:t>COMUNA</w:t>
            </w:r>
          </w:p>
        </w:tc>
        <w:tc>
          <w:tcPr>
            <w:tcW w:w="1695" w:type="dxa"/>
          </w:tcPr>
          <w:p w:rsidR="00A84916" w:rsidRDefault="00A84916" w:rsidP="00A84916">
            <w:pPr>
              <w:jc w:val="both"/>
              <w:rPr>
                <w:b/>
              </w:rPr>
            </w:pPr>
            <w:r>
              <w:rPr>
                <w:b/>
              </w:rPr>
              <w:t xml:space="preserve">PARÁMETRO </w:t>
            </w:r>
            <w:r w:rsidR="00CC0F03" w:rsidRPr="009E2D57">
              <w:rPr>
                <w:b/>
              </w:rPr>
              <w:t>EXCED</w:t>
            </w:r>
            <w:r>
              <w:rPr>
                <w:b/>
              </w:rPr>
              <w:t>IDO</w:t>
            </w:r>
          </w:p>
          <w:p w:rsidR="00CC0F03" w:rsidRPr="009E2D57" w:rsidRDefault="00A84916" w:rsidP="00A84916">
            <w:pPr>
              <w:jc w:val="both"/>
              <w:rPr>
                <w:b/>
              </w:rPr>
            </w:pPr>
            <w:r>
              <w:rPr>
                <w:b/>
              </w:rPr>
              <w:t xml:space="preserve">MUESTREOS DE AGUA </w:t>
            </w:r>
            <w:r w:rsidR="00CC0F03">
              <w:rPr>
                <w:b/>
              </w:rPr>
              <w:t xml:space="preserve"> 2019</w:t>
            </w:r>
          </w:p>
        </w:tc>
        <w:tc>
          <w:tcPr>
            <w:tcW w:w="1694" w:type="dxa"/>
          </w:tcPr>
          <w:p w:rsidR="00CC0F03" w:rsidRDefault="00A84916" w:rsidP="00004C27">
            <w:pPr>
              <w:jc w:val="both"/>
              <w:rPr>
                <w:b/>
              </w:rPr>
            </w:pPr>
            <w:r>
              <w:rPr>
                <w:b/>
              </w:rPr>
              <w:t xml:space="preserve">RESULTADOS DE </w:t>
            </w:r>
            <w:r w:rsidR="00CC0F03">
              <w:rPr>
                <w:b/>
              </w:rPr>
              <w:t xml:space="preserve">REMUESTREOS </w:t>
            </w:r>
          </w:p>
          <w:p w:rsidR="00CC0F03" w:rsidRPr="009E2D57" w:rsidRDefault="00A84916" w:rsidP="00004C27">
            <w:pPr>
              <w:jc w:val="both"/>
              <w:rPr>
                <w:b/>
              </w:rPr>
            </w:pPr>
            <w:r>
              <w:rPr>
                <w:b/>
              </w:rPr>
              <w:t xml:space="preserve">DE AGUA </w:t>
            </w:r>
            <w:r w:rsidR="00CC0F03">
              <w:rPr>
                <w:b/>
              </w:rPr>
              <w:t>2019</w:t>
            </w:r>
          </w:p>
        </w:tc>
        <w:tc>
          <w:tcPr>
            <w:tcW w:w="1708" w:type="dxa"/>
          </w:tcPr>
          <w:p w:rsidR="00CC0F03" w:rsidRDefault="00CC0F03" w:rsidP="00004C27">
            <w:pPr>
              <w:jc w:val="both"/>
              <w:rPr>
                <w:b/>
              </w:rPr>
            </w:pPr>
            <w:r>
              <w:rPr>
                <w:b/>
              </w:rPr>
              <w:t>AÑOS  DE INCUMPLIMIENTOS</w:t>
            </w:r>
            <w:r w:rsidR="00A84916">
              <w:rPr>
                <w:b/>
              </w:rPr>
              <w:t xml:space="preserve"> DE PARAMETROS</w:t>
            </w:r>
          </w:p>
          <w:p w:rsidR="00C17A44" w:rsidRDefault="00C17A44" w:rsidP="00004C27">
            <w:pPr>
              <w:jc w:val="both"/>
              <w:rPr>
                <w:b/>
              </w:rPr>
            </w:pPr>
          </w:p>
        </w:tc>
      </w:tr>
      <w:tr w:rsidR="00A84916" w:rsidRPr="009D2DC3" w:rsidTr="00004C27">
        <w:tc>
          <w:tcPr>
            <w:tcW w:w="441" w:type="dxa"/>
          </w:tcPr>
          <w:p w:rsidR="00CC0F03" w:rsidRPr="009D2DC3" w:rsidRDefault="00CC0F03" w:rsidP="00004C27">
            <w:pPr>
              <w:jc w:val="both"/>
              <w:rPr>
                <w:rFonts w:ascii="Arial" w:hAnsi="Arial" w:cs="Arial"/>
                <w:sz w:val="20"/>
                <w:szCs w:val="20"/>
              </w:rPr>
            </w:pPr>
            <w:r w:rsidRPr="009D2DC3">
              <w:rPr>
                <w:rFonts w:ascii="Arial" w:hAnsi="Arial" w:cs="Arial"/>
                <w:sz w:val="20"/>
                <w:szCs w:val="20"/>
              </w:rPr>
              <w:t>1</w:t>
            </w:r>
          </w:p>
        </w:tc>
        <w:tc>
          <w:tcPr>
            <w:tcW w:w="2155"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Las Peñas El Llano</w:t>
            </w:r>
          </w:p>
        </w:tc>
        <w:tc>
          <w:tcPr>
            <w:tcW w:w="1238"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San Fernando</w:t>
            </w:r>
          </w:p>
        </w:tc>
        <w:tc>
          <w:tcPr>
            <w:tcW w:w="1695" w:type="dxa"/>
          </w:tcPr>
          <w:p w:rsidR="00CC0F03" w:rsidRPr="00715558" w:rsidRDefault="00CC0F03" w:rsidP="00004C27">
            <w:pPr>
              <w:jc w:val="both"/>
              <w:rPr>
                <w:rFonts w:ascii="Arial" w:hAnsi="Arial" w:cs="Arial"/>
                <w:sz w:val="20"/>
                <w:szCs w:val="20"/>
              </w:rPr>
            </w:pPr>
            <w:proofErr w:type="spellStart"/>
            <w:r w:rsidRPr="00715558">
              <w:rPr>
                <w:rFonts w:ascii="Arial" w:hAnsi="Arial" w:cs="Arial"/>
                <w:sz w:val="20"/>
                <w:szCs w:val="20"/>
              </w:rPr>
              <w:t>Escherichia</w:t>
            </w:r>
            <w:proofErr w:type="spellEnd"/>
            <w:r w:rsidRPr="00715558">
              <w:rPr>
                <w:rFonts w:ascii="Arial" w:hAnsi="Arial" w:cs="Arial"/>
                <w:sz w:val="20"/>
                <w:szCs w:val="20"/>
              </w:rPr>
              <w:t xml:space="preserve"> </w:t>
            </w:r>
            <w:proofErr w:type="spellStart"/>
            <w:r w:rsidRPr="00715558">
              <w:rPr>
                <w:rFonts w:ascii="Arial" w:hAnsi="Arial" w:cs="Arial"/>
                <w:sz w:val="20"/>
                <w:szCs w:val="20"/>
              </w:rPr>
              <w:t>Coli</w:t>
            </w:r>
            <w:proofErr w:type="spellEnd"/>
          </w:p>
        </w:tc>
        <w:tc>
          <w:tcPr>
            <w:tcW w:w="1694"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Conformidad</w:t>
            </w:r>
          </w:p>
        </w:tc>
        <w:tc>
          <w:tcPr>
            <w:tcW w:w="1708" w:type="dxa"/>
          </w:tcPr>
          <w:p w:rsidR="00CC0F03" w:rsidRPr="00715558" w:rsidRDefault="00CC0F03" w:rsidP="00004C27">
            <w:pPr>
              <w:jc w:val="center"/>
              <w:outlineLvl w:val="3"/>
              <w:rPr>
                <w:rFonts w:ascii="Arial" w:hAnsi="Arial" w:cs="Arial"/>
                <w:sz w:val="20"/>
                <w:szCs w:val="20"/>
              </w:rPr>
            </w:pPr>
            <w:r w:rsidRPr="00715558">
              <w:rPr>
                <w:rFonts w:ascii="Arial" w:hAnsi="Arial" w:cs="Arial"/>
                <w:sz w:val="20"/>
                <w:szCs w:val="20"/>
              </w:rPr>
              <w:t>-</w:t>
            </w:r>
          </w:p>
          <w:p w:rsidR="00CC0F03" w:rsidRPr="00715558" w:rsidRDefault="00CC0F03" w:rsidP="00004C27">
            <w:pPr>
              <w:jc w:val="center"/>
              <w:outlineLvl w:val="3"/>
              <w:rPr>
                <w:rFonts w:ascii="Arial" w:hAnsi="Arial" w:cs="Arial"/>
                <w:sz w:val="20"/>
                <w:szCs w:val="20"/>
              </w:rPr>
            </w:pPr>
          </w:p>
        </w:tc>
      </w:tr>
      <w:tr w:rsidR="00A84916" w:rsidRPr="009D2DC3" w:rsidTr="00004C27">
        <w:tc>
          <w:tcPr>
            <w:tcW w:w="441" w:type="dxa"/>
          </w:tcPr>
          <w:p w:rsidR="00CC0F03" w:rsidRPr="009D2DC3" w:rsidRDefault="00CC0F03" w:rsidP="00004C27">
            <w:pPr>
              <w:jc w:val="both"/>
              <w:rPr>
                <w:rFonts w:ascii="Arial" w:hAnsi="Arial" w:cs="Arial"/>
                <w:sz w:val="20"/>
                <w:szCs w:val="20"/>
              </w:rPr>
            </w:pPr>
            <w:r w:rsidRPr="009D2DC3">
              <w:rPr>
                <w:rFonts w:ascii="Arial" w:hAnsi="Arial" w:cs="Arial"/>
                <w:sz w:val="20"/>
                <w:szCs w:val="20"/>
              </w:rPr>
              <w:t>2</w:t>
            </w:r>
          </w:p>
        </w:tc>
        <w:tc>
          <w:tcPr>
            <w:tcW w:w="2155"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 xml:space="preserve">La </w:t>
            </w:r>
            <w:proofErr w:type="spellStart"/>
            <w:r w:rsidRPr="00715558">
              <w:rPr>
                <w:rFonts w:ascii="Arial" w:hAnsi="Arial" w:cs="Arial"/>
                <w:sz w:val="20"/>
                <w:szCs w:val="20"/>
              </w:rPr>
              <w:t>Gonzalina</w:t>
            </w:r>
            <w:proofErr w:type="spellEnd"/>
          </w:p>
        </w:tc>
        <w:tc>
          <w:tcPr>
            <w:tcW w:w="1238"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Rancagua</w:t>
            </w:r>
          </w:p>
        </w:tc>
        <w:tc>
          <w:tcPr>
            <w:tcW w:w="1695" w:type="dxa"/>
          </w:tcPr>
          <w:p w:rsidR="00CC0F03" w:rsidRPr="00715558" w:rsidRDefault="00CC0F03" w:rsidP="00004C27">
            <w:pPr>
              <w:jc w:val="both"/>
              <w:rPr>
                <w:rFonts w:ascii="Arial" w:hAnsi="Arial" w:cs="Arial"/>
                <w:sz w:val="20"/>
                <w:szCs w:val="20"/>
              </w:rPr>
            </w:pPr>
            <w:proofErr w:type="spellStart"/>
            <w:r w:rsidRPr="00715558">
              <w:rPr>
                <w:rFonts w:ascii="Arial" w:hAnsi="Arial" w:cs="Arial"/>
                <w:sz w:val="20"/>
                <w:szCs w:val="20"/>
              </w:rPr>
              <w:t>Coliformes</w:t>
            </w:r>
            <w:proofErr w:type="spellEnd"/>
            <w:r w:rsidRPr="00715558">
              <w:rPr>
                <w:rFonts w:ascii="Arial" w:hAnsi="Arial" w:cs="Arial"/>
                <w:sz w:val="20"/>
                <w:szCs w:val="20"/>
              </w:rPr>
              <w:t xml:space="preserve"> Totales</w:t>
            </w:r>
          </w:p>
        </w:tc>
        <w:tc>
          <w:tcPr>
            <w:tcW w:w="1694"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Conformidad</w:t>
            </w:r>
          </w:p>
        </w:tc>
        <w:tc>
          <w:tcPr>
            <w:tcW w:w="1708" w:type="dxa"/>
          </w:tcPr>
          <w:p w:rsidR="00CC0F03" w:rsidRPr="00715558" w:rsidRDefault="00CC0F03" w:rsidP="00004C27">
            <w:pPr>
              <w:jc w:val="center"/>
              <w:outlineLvl w:val="3"/>
              <w:rPr>
                <w:rFonts w:ascii="Arial" w:hAnsi="Arial" w:cs="Arial"/>
                <w:sz w:val="20"/>
                <w:szCs w:val="20"/>
              </w:rPr>
            </w:pPr>
            <w:r w:rsidRPr="00715558">
              <w:rPr>
                <w:rFonts w:ascii="Arial" w:hAnsi="Arial" w:cs="Arial"/>
                <w:sz w:val="20"/>
                <w:szCs w:val="20"/>
              </w:rPr>
              <w:t>-</w:t>
            </w:r>
          </w:p>
          <w:p w:rsidR="00CC0F03" w:rsidRPr="00715558" w:rsidRDefault="00CC0F03" w:rsidP="00004C27">
            <w:pPr>
              <w:jc w:val="both"/>
              <w:rPr>
                <w:rFonts w:ascii="Arial" w:hAnsi="Arial" w:cs="Arial"/>
                <w:sz w:val="20"/>
                <w:szCs w:val="20"/>
              </w:rPr>
            </w:pPr>
          </w:p>
        </w:tc>
      </w:tr>
      <w:tr w:rsidR="00A84916" w:rsidRPr="009D2DC3" w:rsidTr="00004C27">
        <w:tc>
          <w:tcPr>
            <w:tcW w:w="441" w:type="dxa"/>
          </w:tcPr>
          <w:p w:rsidR="00CC0F03" w:rsidRPr="009D2DC3" w:rsidRDefault="00CC0F03" w:rsidP="00004C27">
            <w:pPr>
              <w:jc w:val="both"/>
              <w:rPr>
                <w:rFonts w:ascii="Arial" w:hAnsi="Arial" w:cs="Arial"/>
                <w:sz w:val="20"/>
                <w:szCs w:val="20"/>
              </w:rPr>
            </w:pPr>
            <w:r w:rsidRPr="009D2DC3">
              <w:rPr>
                <w:rFonts w:ascii="Arial" w:hAnsi="Arial" w:cs="Arial"/>
                <w:sz w:val="20"/>
                <w:szCs w:val="20"/>
              </w:rPr>
              <w:t>3</w:t>
            </w:r>
          </w:p>
        </w:tc>
        <w:tc>
          <w:tcPr>
            <w:tcW w:w="2155" w:type="dxa"/>
          </w:tcPr>
          <w:p w:rsidR="00CC0F03" w:rsidRPr="00715558" w:rsidRDefault="00CC0F03" w:rsidP="00004C27">
            <w:pPr>
              <w:jc w:val="both"/>
              <w:rPr>
                <w:rFonts w:ascii="Arial" w:hAnsi="Arial" w:cs="Arial"/>
                <w:sz w:val="20"/>
                <w:szCs w:val="20"/>
              </w:rPr>
            </w:pPr>
            <w:proofErr w:type="spellStart"/>
            <w:r w:rsidRPr="00715558">
              <w:rPr>
                <w:rFonts w:ascii="Arial" w:hAnsi="Arial" w:cs="Arial"/>
                <w:sz w:val="20"/>
                <w:szCs w:val="20"/>
              </w:rPr>
              <w:t>Boldomahuida</w:t>
            </w:r>
            <w:proofErr w:type="spellEnd"/>
            <w:r w:rsidRPr="00715558">
              <w:rPr>
                <w:rFonts w:ascii="Arial" w:hAnsi="Arial" w:cs="Arial"/>
                <w:sz w:val="20"/>
                <w:szCs w:val="20"/>
              </w:rPr>
              <w:t xml:space="preserve"> La </w:t>
            </w:r>
            <w:proofErr w:type="spellStart"/>
            <w:r w:rsidRPr="00715558">
              <w:rPr>
                <w:rFonts w:ascii="Arial" w:hAnsi="Arial" w:cs="Arial"/>
                <w:sz w:val="20"/>
                <w:szCs w:val="20"/>
              </w:rPr>
              <w:t>Cabreria</w:t>
            </w:r>
            <w:proofErr w:type="spellEnd"/>
          </w:p>
        </w:tc>
        <w:tc>
          <w:tcPr>
            <w:tcW w:w="1238" w:type="dxa"/>
          </w:tcPr>
          <w:p w:rsidR="00CC0F03" w:rsidRPr="00715558" w:rsidRDefault="00CC0F03" w:rsidP="00004C27">
            <w:pPr>
              <w:jc w:val="both"/>
              <w:rPr>
                <w:rFonts w:ascii="Arial" w:hAnsi="Arial" w:cs="Arial"/>
                <w:sz w:val="20"/>
                <w:szCs w:val="20"/>
              </w:rPr>
            </w:pPr>
            <w:proofErr w:type="spellStart"/>
            <w:r w:rsidRPr="00715558">
              <w:rPr>
                <w:rFonts w:ascii="Arial" w:hAnsi="Arial" w:cs="Arial"/>
                <w:sz w:val="20"/>
                <w:szCs w:val="20"/>
              </w:rPr>
              <w:t>Chepica</w:t>
            </w:r>
            <w:proofErr w:type="spellEnd"/>
          </w:p>
        </w:tc>
        <w:tc>
          <w:tcPr>
            <w:tcW w:w="1695"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0.0 CL.L.R.</w:t>
            </w:r>
          </w:p>
        </w:tc>
        <w:tc>
          <w:tcPr>
            <w:tcW w:w="1694"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Conformidad</w:t>
            </w:r>
          </w:p>
        </w:tc>
        <w:tc>
          <w:tcPr>
            <w:tcW w:w="1708" w:type="dxa"/>
          </w:tcPr>
          <w:p w:rsidR="00CC0F03" w:rsidRPr="00715558" w:rsidRDefault="00CC0F03" w:rsidP="00004C27">
            <w:pPr>
              <w:jc w:val="center"/>
              <w:outlineLvl w:val="3"/>
              <w:rPr>
                <w:rFonts w:ascii="Arial" w:hAnsi="Arial" w:cs="Arial"/>
                <w:sz w:val="20"/>
                <w:szCs w:val="20"/>
              </w:rPr>
            </w:pPr>
            <w:r w:rsidRPr="00715558">
              <w:rPr>
                <w:rFonts w:ascii="Arial" w:hAnsi="Arial" w:cs="Arial"/>
                <w:sz w:val="20"/>
                <w:szCs w:val="20"/>
              </w:rPr>
              <w:t>-</w:t>
            </w:r>
          </w:p>
          <w:p w:rsidR="00CC0F03" w:rsidRPr="00715558" w:rsidRDefault="00CC0F03" w:rsidP="00004C27">
            <w:pPr>
              <w:jc w:val="both"/>
              <w:rPr>
                <w:rFonts w:ascii="Arial" w:hAnsi="Arial" w:cs="Arial"/>
                <w:sz w:val="20"/>
                <w:szCs w:val="20"/>
              </w:rPr>
            </w:pPr>
          </w:p>
        </w:tc>
      </w:tr>
      <w:tr w:rsidR="00A84916" w:rsidRPr="009D2DC3" w:rsidTr="00004C27">
        <w:tc>
          <w:tcPr>
            <w:tcW w:w="441" w:type="dxa"/>
          </w:tcPr>
          <w:p w:rsidR="00CC0F03" w:rsidRPr="009D2DC3" w:rsidRDefault="00CC0F03" w:rsidP="00004C27">
            <w:pPr>
              <w:jc w:val="both"/>
              <w:rPr>
                <w:rFonts w:ascii="Arial" w:hAnsi="Arial" w:cs="Arial"/>
                <w:sz w:val="20"/>
                <w:szCs w:val="20"/>
              </w:rPr>
            </w:pPr>
            <w:r w:rsidRPr="009D2DC3">
              <w:rPr>
                <w:rFonts w:ascii="Arial" w:hAnsi="Arial" w:cs="Arial"/>
                <w:sz w:val="20"/>
                <w:szCs w:val="20"/>
              </w:rPr>
              <w:t>4</w:t>
            </w:r>
          </w:p>
        </w:tc>
        <w:tc>
          <w:tcPr>
            <w:tcW w:w="2155" w:type="dxa"/>
          </w:tcPr>
          <w:p w:rsidR="00CC0F03" w:rsidRPr="00715558" w:rsidRDefault="00CC0F03" w:rsidP="00004C27">
            <w:pPr>
              <w:jc w:val="both"/>
              <w:rPr>
                <w:rFonts w:ascii="Arial" w:hAnsi="Arial" w:cs="Arial"/>
                <w:sz w:val="20"/>
                <w:szCs w:val="20"/>
              </w:rPr>
            </w:pPr>
            <w:proofErr w:type="spellStart"/>
            <w:r w:rsidRPr="00715558">
              <w:rPr>
                <w:rFonts w:ascii="Arial" w:hAnsi="Arial" w:cs="Arial"/>
                <w:sz w:val="20"/>
                <w:szCs w:val="20"/>
              </w:rPr>
              <w:t>Cahuil</w:t>
            </w:r>
            <w:proofErr w:type="spellEnd"/>
          </w:p>
        </w:tc>
        <w:tc>
          <w:tcPr>
            <w:tcW w:w="1238" w:type="dxa"/>
          </w:tcPr>
          <w:p w:rsidR="00CC0F03" w:rsidRPr="00715558" w:rsidRDefault="00CC0F03" w:rsidP="00004C27">
            <w:pPr>
              <w:jc w:val="both"/>
              <w:rPr>
                <w:rFonts w:ascii="Arial" w:hAnsi="Arial" w:cs="Arial"/>
                <w:sz w:val="20"/>
                <w:szCs w:val="20"/>
              </w:rPr>
            </w:pPr>
            <w:proofErr w:type="spellStart"/>
            <w:r w:rsidRPr="00715558">
              <w:rPr>
                <w:rFonts w:ascii="Arial" w:hAnsi="Arial" w:cs="Arial"/>
                <w:sz w:val="20"/>
                <w:szCs w:val="20"/>
              </w:rPr>
              <w:t>Pichilemu</w:t>
            </w:r>
            <w:proofErr w:type="spellEnd"/>
          </w:p>
        </w:tc>
        <w:tc>
          <w:tcPr>
            <w:tcW w:w="1695"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0.0 CL.L.R.</w:t>
            </w:r>
          </w:p>
          <w:p w:rsidR="00CC0F03" w:rsidRPr="00715558" w:rsidRDefault="00CC0F03" w:rsidP="00004C27">
            <w:pPr>
              <w:jc w:val="both"/>
              <w:rPr>
                <w:rFonts w:ascii="Arial" w:hAnsi="Arial" w:cs="Arial"/>
                <w:sz w:val="20"/>
                <w:szCs w:val="20"/>
              </w:rPr>
            </w:pPr>
            <w:r w:rsidRPr="00715558">
              <w:rPr>
                <w:rFonts w:ascii="Arial" w:hAnsi="Arial" w:cs="Arial"/>
                <w:sz w:val="20"/>
                <w:szCs w:val="20"/>
              </w:rPr>
              <w:t xml:space="preserve"> y Mn</w:t>
            </w:r>
          </w:p>
        </w:tc>
        <w:tc>
          <w:tcPr>
            <w:tcW w:w="1694"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 xml:space="preserve">Conformidad Cloro                     Mn No </w:t>
            </w:r>
            <w:r w:rsidRPr="00715558">
              <w:rPr>
                <w:rFonts w:ascii="Arial" w:hAnsi="Arial" w:cs="Arial"/>
                <w:sz w:val="20"/>
                <w:szCs w:val="20"/>
              </w:rPr>
              <w:lastRenderedPageBreak/>
              <w:t>Conformidad</w:t>
            </w:r>
          </w:p>
        </w:tc>
        <w:tc>
          <w:tcPr>
            <w:tcW w:w="1708"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lastRenderedPageBreak/>
              <w:t>2015-2016-2018-2019</w:t>
            </w:r>
          </w:p>
        </w:tc>
      </w:tr>
      <w:tr w:rsidR="00A84916" w:rsidRPr="009D2DC3" w:rsidTr="00004C27">
        <w:tc>
          <w:tcPr>
            <w:tcW w:w="441" w:type="dxa"/>
          </w:tcPr>
          <w:p w:rsidR="00CC0F03" w:rsidRPr="009D2DC3" w:rsidRDefault="00CC0F03" w:rsidP="00004C27">
            <w:pPr>
              <w:jc w:val="both"/>
              <w:rPr>
                <w:rFonts w:ascii="Arial" w:hAnsi="Arial" w:cs="Arial"/>
                <w:sz w:val="20"/>
                <w:szCs w:val="20"/>
              </w:rPr>
            </w:pPr>
            <w:r w:rsidRPr="009D2DC3">
              <w:rPr>
                <w:rFonts w:ascii="Arial" w:hAnsi="Arial" w:cs="Arial"/>
                <w:sz w:val="20"/>
                <w:szCs w:val="20"/>
              </w:rPr>
              <w:lastRenderedPageBreak/>
              <w:t>5</w:t>
            </w:r>
          </w:p>
        </w:tc>
        <w:tc>
          <w:tcPr>
            <w:tcW w:w="2155"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La Aguada</w:t>
            </w:r>
          </w:p>
        </w:tc>
        <w:tc>
          <w:tcPr>
            <w:tcW w:w="1238"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Paredones</w:t>
            </w:r>
          </w:p>
        </w:tc>
        <w:tc>
          <w:tcPr>
            <w:tcW w:w="1695" w:type="dxa"/>
          </w:tcPr>
          <w:p w:rsidR="00CC0F03" w:rsidRPr="00715558" w:rsidRDefault="00CC0F03" w:rsidP="00004C27">
            <w:pPr>
              <w:rPr>
                <w:rFonts w:ascii="Arial" w:hAnsi="Arial" w:cs="Arial"/>
                <w:sz w:val="20"/>
                <w:szCs w:val="20"/>
              </w:rPr>
            </w:pPr>
            <w:r w:rsidRPr="00715558">
              <w:rPr>
                <w:rFonts w:ascii="Arial" w:hAnsi="Arial" w:cs="Arial"/>
                <w:sz w:val="20"/>
                <w:szCs w:val="20"/>
              </w:rPr>
              <w:t>0.0 CL.L.R</w:t>
            </w:r>
          </w:p>
        </w:tc>
        <w:tc>
          <w:tcPr>
            <w:tcW w:w="1694" w:type="dxa"/>
          </w:tcPr>
          <w:p w:rsidR="00CC0F03" w:rsidRPr="00715558" w:rsidRDefault="00CC0F03" w:rsidP="00004C27">
            <w:pPr>
              <w:rPr>
                <w:rFonts w:ascii="Arial" w:hAnsi="Arial" w:cs="Arial"/>
                <w:sz w:val="20"/>
                <w:szCs w:val="20"/>
              </w:rPr>
            </w:pPr>
            <w:r w:rsidRPr="00715558">
              <w:rPr>
                <w:rFonts w:ascii="Arial" w:hAnsi="Arial" w:cs="Arial"/>
                <w:sz w:val="20"/>
                <w:szCs w:val="20"/>
              </w:rPr>
              <w:t>Conformidad</w:t>
            </w:r>
          </w:p>
        </w:tc>
        <w:tc>
          <w:tcPr>
            <w:tcW w:w="1708" w:type="dxa"/>
          </w:tcPr>
          <w:p w:rsidR="00CC0F03" w:rsidRPr="00715558" w:rsidRDefault="00CC0F03" w:rsidP="00004C27">
            <w:pPr>
              <w:jc w:val="center"/>
              <w:outlineLvl w:val="3"/>
              <w:rPr>
                <w:rFonts w:ascii="Arial" w:hAnsi="Arial" w:cs="Arial"/>
                <w:sz w:val="20"/>
                <w:szCs w:val="20"/>
              </w:rPr>
            </w:pPr>
            <w:r w:rsidRPr="00715558">
              <w:rPr>
                <w:rFonts w:ascii="Arial" w:hAnsi="Arial" w:cs="Arial"/>
                <w:sz w:val="20"/>
                <w:szCs w:val="20"/>
              </w:rPr>
              <w:t>-</w:t>
            </w:r>
          </w:p>
          <w:p w:rsidR="00CC0F03" w:rsidRPr="00715558" w:rsidRDefault="00CC0F03" w:rsidP="00004C27">
            <w:pPr>
              <w:rPr>
                <w:rFonts w:ascii="Arial" w:hAnsi="Arial" w:cs="Arial"/>
                <w:sz w:val="20"/>
                <w:szCs w:val="20"/>
              </w:rPr>
            </w:pPr>
          </w:p>
        </w:tc>
      </w:tr>
      <w:tr w:rsidR="00A84916" w:rsidRPr="009D2DC3" w:rsidTr="00004C27">
        <w:tc>
          <w:tcPr>
            <w:tcW w:w="441" w:type="dxa"/>
          </w:tcPr>
          <w:p w:rsidR="00CC0F03" w:rsidRPr="009D2DC3" w:rsidRDefault="00CC0F03" w:rsidP="00004C27">
            <w:pPr>
              <w:jc w:val="both"/>
              <w:rPr>
                <w:rFonts w:ascii="Arial" w:hAnsi="Arial" w:cs="Arial"/>
                <w:sz w:val="20"/>
                <w:szCs w:val="20"/>
              </w:rPr>
            </w:pPr>
            <w:r w:rsidRPr="009D2DC3">
              <w:rPr>
                <w:rFonts w:ascii="Arial" w:hAnsi="Arial" w:cs="Arial"/>
                <w:sz w:val="20"/>
                <w:szCs w:val="20"/>
              </w:rPr>
              <w:t>6</w:t>
            </w:r>
          </w:p>
        </w:tc>
        <w:tc>
          <w:tcPr>
            <w:tcW w:w="2155" w:type="dxa"/>
          </w:tcPr>
          <w:p w:rsidR="00CC0F03" w:rsidRPr="00715558" w:rsidRDefault="00CC0F03" w:rsidP="00004C27">
            <w:pPr>
              <w:jc w:val="both"/>
              <w:rPr>
                <w:rFonts w:ascii="Arial" w:hAnsi="Arial" w:cs="Arial"/>
                <w:sz w:val="20"/>
                <w:szCs w:val="20"/>
              </w:rPr>
            </w:pPr>
            <w:proofErr w:type="spellStart"/>
            <w:r w:rsidRPr="00715558">
              <w:rPr>
                <w:rFonts w:ascii="Arial" w:hAnsi="Arial" w:cs="Arial"/>
                <w:sz w:val="20"/>
                <w:szCs w:val="20"/>
              </w:rPr>
              <w:t>Cutemu</w:t>
            </w:r>
            <w:proofErr w:type="spellEnd"/>
            <w:r w:rsidRPr="00715558">
              <w:rPr>
                <w:rFonts w:ascii="Arial" w:hAnsi="Arial" w:cs="Arial"/>
                <w:sz w:val="20"/>
                <w:szCs w:val="20"/>
              </w:rPr>
              <w:t xml:space="preserve"> La Quebrada</w:t>
            </w:r>
          </w:p>
        </w:tc>
        <w:tc>
          <w:tcPr>
            <w:tcW w:w="1238"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Paredones</w:t>
            </w:r>
          </w:p>
        </w:tc>
        <w:tc>
          <w:tcPr>
            <w:tcW w:w="1695" w:type="dxa"/>
          </w:tcPr>
          <w:p w:rsidR="00CC0F03" w:rsidRPr="00715558" w:rsidRDefault="00CC0F03" w:rsidP="00004C27">
            <w:pPr>
              <w:rPr>
                <w:rFonts w:ascii="Arial" w:hAnsi="Arial" w:cs="Arial"/>
                <w:sz w:val="20"/>
                <w:szCs w:val="20"/>
              </w:rPr>
            </w:pPr>
            <w:r w:rsidRPr="00715558">
              <w:rPr>
                <w:rFonts w:ascii="Arial" w:hAnsi="Arial" w:cs="Arial"/>
                <w:sz w:val="20"/>
                <w:szCs w:val="20"/>
              </w:rPr>
              <w:t>0.0 CL.L.R  y Color</w:t>
            </w:r>
          </w:p>
        </w:tc>
        <w:tc>
          <w:tcPr>
            <w:tcW w:w="1694" w:type="dxa"/>
          </w:tcPr>
          <w:p w:rsidR="00CC0F03" w:rsidRPr="00715558" w:rsidRDefault="00CC0F03" w:rsidP="00004C27">
            <w:pPr>
              <w:rPr>
                <w:rFonts w:ascii="Arial" w:hAnsi="Arial" w:cs="Arial"/>
                <w:sz w:val="20"/>
                <w:szCs w:val="20"/>
              </w:rPr>
            </w:pPr>
            <w:r w:rsidRPr="00715558">
              <w:rPr>
                <w:rFonts w:ascii="Arial" w:hAnsi="Arial" w:cs="Arial"/>
                <w:sz w:val="20"/>
                <w:szCs w:val="20"/>
              </w:rPr>
              <w:t>Color No Conformidad</w:t>
            </w:r>
          </w:p>
        </w:tc>
        <w:tc>
          <w:tcPr>
            <w:tcW w:w="1708" w:type="dxa"/>
          </w:tcPr>
          <w:p w:rsidR="00CC0F03" w:rsidRPr="00715558" w:rsidRDefault="00CC0F03" w:rsidP="00004C27">
            <w:pPr>
              <w:rPr>
                <w:rFonts w:ascii="Arial" w:hAnsi="Arial" w:cs="Arial"/>
                <w:sz w:val="20"/>
                <w:szCs w:val="20"/>
              </w:rPr>
            </w:pPr>
            <w:r w:rsidRPr="00715558">
              <w:rPr>
                <w:rFonts w:ascii="Arial" w:hAnsi="Arial" w:cs="Arial"/>
                <w:sz w:val="20"/>
                <w:szCs w:val="20"/>
              </w:rPr>
              <w:t>2015-2019</w:t>
            </w:r>
          </w:p>
        </w:tc>
      </w:tr>
      <w:tr w:rsidR="00A84916" w:rsidRPr="009D2DC3" w:rsidTr="00004C27">
        <w:tc>
          <w:tcPr>
            <w:tcW w:w="441" w:type="dxa"/>
          </w:tcPr>
          <w:p w:rsidR="00CC0F03" w:rsidRPr="009D2DC3" w:rsidRDefault="00CC0F03" w:rsidP="00004C27">
            <w:pPr>
              <w:jc w:val="both"/>
              <w:rPr>
                <w:rFonts w:ascii="Arial" w:hAnsi="Arial" w:cs="Arial"/>
                <w:sz w:val="20"/>
                <w:szCs w:val="20"/>
              </w:rPr>
            </w:pPr>
            <w:r w:rsidRPr="009D2DC3">
              <w:rPr>
                <w:rFonts w:ascii="Arial" w:hAnsi="Arial" w:cs="Arial"/>
                <w:sz w:val="20"/>
                <w:szCs w:val="20"/>
              </w:rPr>
              <w:t>7</w:t>
            </w:r>
          </w:p>
        </w:tc>
        <w:tc>
          <w:tcPr>
            <w:tcW w:w="2155"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Las Viñas del Potrero</w:t>
            </w:r>
          </w:p>
        </w:tc>
        <w:tc>
          <w:tcPr>
            <w:tcW w:w="1238" w:type="dxa"/>
          </w:tcPr>
          <w:p w:rsidR="00CC0F03" w:rsidRPr="00715558" w:rsidRDefault="00CC0F03" w:rsidP="00004C27">
            <w:pPr>
              <w:rPr>
                <w:rFonts w:ascii="Arial" w:hAnsi="Arial" w:cs="Arial"/>
                <w:sz w:val="20"/>
                <w:szCs w:val="20"/>
              </w:rPr>
            </w:pPr>
            <w:r w:rsidRPr="00715558">
              <w:rPr>
                <w:rFonts w:ascii="Arial" w:hAnsi="Arial" w:cs="Arial"/>
                <w:sz w:val="20"/>
                <w:szCs w:val="20"/>
              </w:rPr>
              <w:t>Paredones</w:t>
            </w:r>
          </w:p>
        </w:tc>
        <w:tc>
          <w:tcPr>
            <w:tcW w:w="1695"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 xml:space="preserve">Mn, </w:t>
            </w:r>
          </w:p>
        </w:tc>
        <w:tc>
          <w:tcPr>
            <w:tcW w:w="1694"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Mn No Conformidad</w:t>
            </w:r>
          </w:p>
        </w:tc>
        <w:tc>
          <w:tcPr>
            <w:tcW w:w="1708"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2011-2015-2016-2019</w:t>
            </w:r>
          </w:p>
        </w:tc>
      </w:tr>
      <w:tr w:rsidR="00A84916" w:rsidRPr="009D2DC3" w:rsidTr="00004C27">
        <w:tc>
          <w:tcPr>
            <w:tcW w:w="441" w:type="dxa"/>
          </w:tcPr>
          <w:p w:rsidR="00CC0F03" w:rsidRPr="009D2DC3" w:rsidRDefault="00CC0F03" w:rsidP="00004C27">
            <w:pPr>
              <w:jc w:val="both"/>
              <w:rPr>
                <w:rFonts w:ascii="Arial" w:hAnsi="Arial" w:cs="Arial"/>
                <w:sz w:val="20"/>
                <w:szCs w:val="20"/>
              </w:rPr>
            </w:pPr>
            <w:r w:rsidRPr="009D2DC3">
              <w:rPr>
                <w:rFonts w:ascii="Arial" w:hAnsi="Arial" w:cs="Arial"/>
                <w:sz w:val="20"/>
                <w:szCs w:val="20"/>
              </w:rPr>
              <w:t>8</w:t>
            </w:r>
          </w:p>
        </w:tc>
        <w:tc>
          <w:tcPr>
            <w:tcW w:w="2155"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 xml:space="preserve">Calvario </w:t>
            </w:r>
            <w:proofErr w:type="spellStart"/>
            <w:r w:rsidRPr="00715558">
              <w:rPr>
                <w:rFonts w:ascii="Arial" w:hAnsi="Arial" w:cs="Arial"/>
                <w:sz w:val="20"/>
                <w:szCs w:val="20"/>
              </w:rPr>
              <w:t>Querelema</w:t>
            </w:r>
            <w:proofErr w:type="spellEnd"/>
          </w:p>
        </w:tc>
        <w:tc>
          <w:tcPr>
            <w:tcW w:w="1238" w:type="dxa"/>
          </w:tcPr>
          <w:p w:rsidR="00CC0F03" w:rsidRPr="00715558" w:rsidRDefault="00CC0F03" w:rsidP="00004C27">
            <w:pPr>
              <w:rPr>
                <w:rFonts w:ascii="Arial" w:hAnsi="Arial" w:cs="Arial"/>
                <w:sz w:val="20"/>
                <w:szCs w:val="20"/>
              </w:rPr>
            </w:pPr>
            <w:r w:rsidRPr="00715558">
              <w:rPr>
                <w:rFonts w:ascii="Arial" w:hAnsi="Arial" w:cs="Arial"/>
                <w:sz w:val="20"/>
                <w:szCs w:val="20"/>
              </w:rPr>
              <w:t>Paredones</w:t>
            </w:r>
          </w:p>
        </w:tc>
        <w:tc>
          <w:tcPr>
            <w:tcW w:w="1695"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 xml:space="preserve"> Mn, Fe, Turbiedad</w:t>
            </w:r>
          </w:p>
        </w:tc>
        <w:tc>
          <w:tcPr>
            <w:tcW w:w="1694"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Fe No Conformidad</w:t>
            </w:r>
          </w:p>
        </w:tc>
        <w:tc>
          <w:tcPr>
            <w:tcW w:w="1708"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2015-2016-</w:t>
            </w:r>
          </w:p>
          <w:p w:rsidR="00CC0F03" w:rsidRPr="00715558" w:rsidRDefault="00CC0F03" w:rsidP="00004C27">
            <w:pPr>
              <w:jc w:val="both"/>
              <w:rPr>
                <w:rFonts w:ascii="Arial" w:hAnsi="Arial" w:cs="Arial"/>
                <w:sz w:val="20"/>
                <w:szCs w:val="20"/>
              </w:rPr>
            </w:pPr>
            <w:r w:rsidRPr="00715558">
              <w:rPr>
                <w:rFonts w:ascii="Arial" w:hAnsi="Arial" w:cs="Arial"/>
                <w:sz w:val="20"/>
                <w:szCs w:val="20"/>
              </w:rPr>
              <w:t>2019</w:t>
            </w:r>
          </w:p>
        </w:tc>
      </w:tr>
      <w:tr w:rsidR="00A84916" w:rsidRPr="009D2DC3" w:rsidTr="00004C27">
        <w:tc>
          <w:tcPr>
            <w:tcW w:w="441" w:type="dxa"/>
          </w:tcPr>
          <w:p w:rsidR="00CC0F03" w:rsidRPr="009D2DC3" w:rsidRDefault="00CC0F03" w:rsidP="00004C27">
            <w:pPr>
              <w:jc w:val="both"/>
              <w:rPr>
                <w:rFonts w:ascii="Arial" w:hAnsi="Arial" w:cs="Arial"/>
                <w:sz w:val="20"/>
                <w:szCs w:val="20"/>
              </w:rPr>
            </w:pPr>
            <w:r w:rsidRPr="009D2DC3">
              <w:rPr>
                <w:rFonts w:ascii="Arial" w:hAnsi="Arial" w:cs="Arial"/>
                <w:sz w:val="20"/>
                <w:szCs w:val="20"/>
              </w:rPr>
              <w:t>9</w:t>
            </w:r>
          </w:p>
        </w:tc>
        <w:tc>
          <w:tcPr>
            <w:tcW w:w="2155" w:type="dxa"/>
          </w:tcPr>
          <w:p w:rsidR="00CC0F03" w:rsidRPr="00715558" w:rsidRDefault="00CC0F03" w:rsidP="00004C27">
            <w:pPr>
              <w:jc w:val="both"/>
              <w:rPr>
                <w:rFonts w:ascii="Arial" w:hAnsi="Arial" w:cs="Arial"/>
                <w:sz w:val="20"/>
                <w:szCs w:val="20"/>
              </w:rPr>
            </w:pPr>
            <w:proofErr w:type="spellStart"/>
            <w:r w:rsidRPr="00715558">
              <w:rPr>
                <w:rFonts w:ascii="Arial" w:hAnsi="Arial" w:cs="Arial"/>
                <w:sz w:val="20"/>
                <w:szCs w:val="20"/>
              </w:rPr>
              <w:t>Chanqueahue</w:t>
            </w:r>
            <w:proofErr w:type="spellEnd"/>
          </w:p>
        </w:tc>
        <w:tc>
          <w:tcPr>
            <w:tcW w:w="1238"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Rengo</w:t>
            </w:r>
          </w:p>
        </w:tc>
        <w:tc>
          <w:tcPr>
            <w:tcW w:w="1695"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pH</w:t>
            </w:r>
          </w:p>
        </w:tc>
        <w:tc>
          <w:tcPr>
            <w:tcW w:w="1694"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pH No Conformidad</w:t>
            </w:r>
          </w:p>
        </w:tc>
        <w:tc>
          <w:tcPr>
            <w:tcW w:w="1708" w:type="dxa"/>
          </w:tcPr>
          <w:p w:rsidR="00CC0F03" w:rsidRPr="00715558" w:rsidRDefault="00CC0F03" w:rsidP="00004C27">
            <w:pPr>
              <w:jc w:val="center"/>
              <w:outlineLvl w:val="3"/>
              <w:rPr>
                <w:rFonts w:ascii="Arial" w:hAnsi="Arial" w:cs="Arial"/>
                <w:sz w:val="20"/>
                <w:szCs w:val="20"/>
              </w:rPr>
            </w:pPr>
            <w:r w:rsidRPr="00715558">
              <w:rPr>
                <w:rFonts w:ascii="Arial" w:hAnsi="Arial" w:cs="Arial"/>
                <w:sz w:val="20"/>
                <w:szCs w:val="20"/>
              </w:rPr>
              <w:t>-</w:t>
            </w:r>
          </w:p>
          <w:p w:rsidR="00CC0F03" w:rsidRPr="00715558" w:rsidRDefault="00CC0F03" w:rsidP="00004C27">
            <w:pPr>
              <w:jc w:val="both"/>
              <w:rPr>
                <w:rFonts w:ascii="Arial" w:hAnsi="Arial" w:cs="Arial"/>
                <w:sz w:val="20"/>
                <w:szCs w:val="20"/>
              </w:rPr>
            </w:pPr>
          </w:p>
        </w:tc>
      </w:tr>
      <w:tr w:rsidR="00A84916" w:rsidRPr="009D2DC3" w:rsidTr="00004C27">
        <w:tc>
          <w:tcPr>
            <w:tcW w:w="441" w:type="dxa"/>
          </w:tcPr>
          <w:p w:rsidR="00CC0F03" w:rsidRPr="009D2DC3" w:rsidRDefault="00CC0F03" w:rsidP="00004C27">
            <w:pPr>
              <w:jc w:val="both"/>
              <w:rPr>
                <w:rFonts w:ascii="Arial" w:hAnsi="Arial" w:cs="Arial"/>
                <w:sz w:val="20"/>
                <w:szCs w:val="20"/>
              </w:rPr>
            </w:pPr>
            <w:r w:rsidRPr="009D2DC3">
              <w:rPr>
                <w:rFonts w:ascii="Arial" w:hAnsi="Arial" w:cs="Arial"/>
                <w:sz w:val="20"/>
                <w:szCs w:val="20"/>
              </w:rPr>
              <w:t>10</w:t>
            </w:r>
          </w:p>
        </w:tc>
        <w:tc>
          <w:tcPr>
            <w:tcW w:w="2155"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Paso del Soldado</w:t>
            </w:r>
          </w:p>
        </w:tc>
        <w:tc>
          <w:tcPr>
            <w:tcW w:w="1238" w:type="dxa"/>
          </w:tcPr>
          <w:p w:rsidR="00CC0F03" w:rsidRPr="00715558" w:rsidRDefault="00CC0F03" w:rsidP="00004C27">
            <w:pPr>
              <w:jc w:val="both"/>
              <w:rPr>
                <w:rFonts w:ascii="Arial" w:hAnsi="Arial" w:cs="Arial"/>
                <w:sz w:val="20"/>
                <w:szCs w:val="20"/>
              </w:rPr>
            </w:pPr>
            <w:proofErr w:type="spellStart"/>
            <w:r w:rsidRPr="00715558">
              <w:rPr>
                <w:rFonts w:ascii="Arial" w:hAnsi="Arial" w:cs="Arial"/>
                <w:sz w:val="20"/>
                <w:szCs w:val="20"/>
              </w:rPr>
              <w:t>Litueche</w:t>
            </w:r>
            <w:proofErr w:type="spellEnd"/>
          </w:p>
        </w:tc>
        <w:tc>
          <w:tcPr>
            <w:tcW w:w="1695" w:type="dxa"/>
          </w:tcPr>
          <w:p w:rsidR="00CC0F03" w:rsidRPr="00715558" w:rsidRDefault="00CC0F03" w:rsidP="00004C27">
            <w:pPr>
              <w:jc w:val="both"/>
              <w:rPr>
                <w:rFonts w:ascii="Arial" w:hAnsi="Arial" w:cs="Arial"/>
                <w:sz w:val="20"/>
                <w:szCs w:val="20"/>
              </w:rPr>
            </w:pPr>
            <w:proofErr w:type="spellStart"/>
            <w:r w:rsidRPr="00715558">
              <w:rPr>
                <w:rFonts w:ascii="Arial" w:hAnsi="Arial" w:cs="Arial"/>
                <w:sz w:val="20"/>
                <w:szCs w:val="20"/>
              </w:rPr>
              <w:t>Ph</w:t>
            </w:r>
            <w:proofErr w:type="spellEnd"/>
          </w:p>
        </w:tc>
        <w:tc>
          <w:tcPr>
            <w:tcW w:w="1694"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Conformidad</w:t>
            </w:r>
          </w:p>
        </w:tc>
        <w:tc>
          <w:tcPr>
            <w:tcW w:w="1708" w:type="dxa"/>
          </w:tcPr>
          <w:p w:rsidR="00CC0F03" w:rsidRPr="00715558" w:rsidRDefault="00CC0F03" w:rsidP="00004C27">
            <w:pPr>
              <w:jc w:val="center"/>
              <w:rPr>
                <w:rFonts w:ascii="Arial" w:hAnsi="Arial" w:cs="Arial"/>
                <w:sz w:val="20"/>
                <w:szCs w:val="20"/>
              </w:rPr>
            </w:pPr>
            <w:r w:rsidRPr="00715558">
              <w:rPr>
                <w:rFonts w:ascii="Arial" w:hAnsi="Arial" w:cs="Arial"/>
                <w:sz w:val="20"/>
                <w:szCs w:val="20"/>
              </w:rPr>
              <w:t>-</w:t>
            </w:r>
          </w:p>
        </w:tc>
      </w:tr>
      <w:tr w:rsidR="00A84916" w:rsidRPr="009D2DC3" w:rsidTr="00004C27">
        <w:tc>
          <w:tcPr>
            <w:tcW w:w="441" w:type="dxa"/>
          </w:tcPr>
          <w:p w:rsidR="00CC0F03" w:rsidRPr="009D2DC3" w:rsidRDefault="00CC0F03" w:rsidP="00004C27">
            <w:pPr>
              <w:jc w:val="both"/>
              <w:rPr>
                <w:rFonts w:ascii="Arial" w:hAnsi="Arial" w:cs="Arial"/>
                <w:sz w:val="20"/>
                <w:szCs w:val="20"/>
              </w:rPr>
            </w:pPr>
            <w:r w:rsidRPr="009D2DC3">
              <w:rPr>
                <w:rFonts w:ascii="Arial" w:hAnsi="Arial" w:cs="Arial"/>
                <w:sz w:val="20"/>
                <w:szCs w:val="20"/>
              </w:rPr>
              <w:t>11</w:t>
            </w:r>
          </w:p>
        </w:tc>
        <w:tc>
          <w:tcPr>
            <w:tcW w:w="2155"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Lima La Calera</w:t>
            </w:r>
          </w:p>
        </w:tc>
        <w:tc>
          <w:tcPr>
            <w:tcW w:w="1238" w:type="dxa"/>
          </w:tcPr>
          <w:p w:rsidR="00CC0F03" w:rsidRPr="00715558" w:rsidRDefault="00CC0F03" w:rsidP="00004C27">
            <w:pPr>
              <w:jc w:val="both"/>
              <w:rPr>
                <w:rFonts w:ascii="Arial" w:hAnsi="Arial" w:cs="Arial"/>
                <w:sz w:val="20"/>
                <w:szCs w:val="20"/>
              </w:rPr>
            </w:pPr>
            <w:proofErr w:type="spellStart"/>
            <w:r w:rsidRPr="00715558">
              <w:rPr>
                <w:rFonts w:ascii="Arial" w:hAnsi="Arial" w:cs="Arial"/>
                <w:sz w:val="20"/>
                <w:szCs w:val="20"/>
              </w:rPr>
              <w:t>Chepica</w:t>
            </w:r>
            <w:proofErr w:type="spellEnd"/>
          </w:p>
        </w:tc>
        <w:tc>
          <w:tcPr>
            <w:tcW w:w="1695"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As</w:t>
            </w:r>
          </w:p>
        </w:tc>
        <w:tc>
          <w:tcPr>
            <w:tcW w:w="1694"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Conformidad</w:t>
            </w:r>
          </w:p>
        </w:tc>
        <w:tc>
          <w:tcPr>
            <w:tcW w:w="1708" w:type="dxa"/>
          </w:tcPr>
          <w:p w:rsidR="00CC0F03" w:rsidRPr="00715558" w:rsidRDefault="00CC0F03" w:rsidP="00004C27">
            <w:pPr>
              <w:jc w:val="center"/>
              <w:rPr>
                <w:rFonts w:ascii="Arial" w:hAnsi="Arial" w:cs="Arial"/>
                <w:sz w:val="20"/>
                <w:szCs w:val="20"/>
              </w:rPr>
            </w:pPr>
            <w:r w:rsidRPr="00715558">
              <w:rPr>
                <w:rFonts w:ascii="Arial" w:hAnsi="Arial" w:cs="Arial"/>
                <w:sz w:val="20"/>
                <w:szCs w:val="20"/>
              </w:rPr>
              <w:t>-</w:t>
            </w:r>
          </w:p>
        </w:tc>
      </w:tr>
      <w:tr w:rsidR="00A84916" w:rsidRPr="009D2DC3" w:rsidTr="00004C27">
        <w:tc>
          <w:tcPr>
            <w:tcW w:w="441" w:type="dxa"/>
          </w:tcPr>
          <w:p w:rsidR="00CC0F03" w:rsidRPr="009D2DC3" w:rsidRDefault="00CC0F03" w:rsidP="00004C27">
            <w:pPr>
              <w:jc w:val="both"/>
              <w:rPr>
                <w:rFonts w:ascii="Arial" w:hAnsi="Arial" w:cs="Arial"/>
                <w:sz w:val="20"/>
                <w:szCs w:val="20"/>
              </w:rPr>
            </w:pPr>
            <w:r w:rsidRPr="009D2DC3">
              <w:rPr>
                <w:rFonts w:ascii="Arial" w:hAnsi="Arial" w:cs="Arial"/>
                <w:sz w:val="20"/>
                <w:szCs w:val="20"/>
              </w:rPr>
              <w:t>12</w:t>
            </w:r>
          </w:p>
        </w:tc>
        <w:tc>
          <w:tcPr>
            <w:tcW w:w="2155"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Roma Los Lingues</w:t>
            </w:r>
          </w:p>
        </w:tc>
        <w:tc>
          <w:tcPr>
            <w:tcW w:w="1238"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San Fernando</w:t>
            </w:r>
          </w:p>
        </w:tc>
        <w:tc>
          <w:tcPr>
            <w:tcW w:w="1695"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pH</w:t>
            </w:r>
          </w:p>
        </w:tc>
        <w:tc>
          <w:tcPr>
            <w:tcW w:w="1694" w:type="dxa"/>
          </w:tcPr>
          <w:p w:rsidR="00CC0F03" w:rsidRPr="00715558" w:rsidRDefault="00CC0F03" w:rsidP="00004C27">
            <w:pPr>
              <w:jc w:val="both"/>
              <w:rPr>
                <w:rFonts w:ascii="Arial" w:hAnsi="Arial" w:cs="Arial"/>
                <w:sz w:val="20"/>
                <w:szCs w:val="20"/>
              </w:rPr>
            </w:pPr>
          </w:p>
        </w:tc>
        <w:tc>
          <w:tcPr>
            <w:tcW w:w="1708" w:type="dxa"/>
          </w:tcPr>
          <w:p w:rsidR="00CC0F03" w:rsidRPr="00715558" w:rsidRDefault="00CC0F03" w:rsidP="00004C27">
            <w:pPr>
              <w:jc w:val="center"/>
              <w:rPr>
                <w:rFonts w:ascii="Arial" w:hAnsi="Arial" w:cs="Arial"/>
                <w:sz w:val="20"/>
                <w:szCs w:val="20"/>
              </w:rPr>
            </w:pPr>
            <w:r w:rsidRPr="00715558">
              <w:rPr>
                <w:rFonts w:ascii="Arial" w:hAnsi="Arial" w:cs="Arial"/>
                <w:sz w:val="20"/>
                <w:szCs w:val="20"/>
              </w:rPr>
              <w:t>-</w:t>
            </w:r>
          </w:p>
        </w:tc>
      </w:tr>
      <w:tr w:rsidR="00A84916" w:rsidRPr="009D2DC3" w:rsidTr="00004C27">
        <w:tc>
          <w:tcPr>
            <w:tcW w:w="441" w:type="dxa"/>
          </w:tcPr>
          <w:p w:rsidR="00CC0F03" w:rsidRPr="009D2DC3" w:rsidRDefault="00CC0F03" w:rsidP="00004C27">
            <w:pPr>
              <w:jc w:val="both"/>
              <w:rPr>
                <w:rFonts w:ascii="Arial" w:hAnsi="Arial" w:cs="Arial"/>
                <w:sz w:val="20"/>
                <w:szCs w:val="20"/>
              </w:rPr>
            </w:pPr>
            <w:r w:rsidRPr="009D2DC3">
              <w:rPr>
                <w:rFonts w:ascii="Arial" w:hAnsi="Arial" w:cs="Arial"/>
                <w:sz w:val="20"/>
                <w:szCs w:val="20"/>
              </w:rPr>
              <w:t>13</w:t>
            </w:r>
          </w:p>
        </w:tc>
        <w:tc>
          <w:tcPr>
            <w:tcW w:w="2155" w:type="dxa"/>
          </w:tcPr>
          <w:p w:rsidR="00CC0F03" w:rsidRPr="00715558" w:rsidRDefault="00CC0F03" w:rsidP="00004C27">
            <w:pPr>
              <w:jc w:val="both"/>
              <w:rPr>
                <w:rFonts w:ascii="Arial" w:hAnsi="Arial" w:cs="Arial"/>
                <w:sz w:val="20"/>
                <w:szCs w:val="20"/>
              </w:rPr>
            </w:pPr>
            <w:proofErr w:type="spellStart"/>
            <w:r w:rsidRPr="00715558">
              <w:rPr>
                <w:rFonts w:ascii="Arial" w:hAnsi="Arial" w:cs="Arial"/>
                <w:sz w:val="20"/>
                <w:szCs w:val="20"/>
              </w:rPr>
              <w:t>Sta</w:t>
            </w:r>
            <w:proofErr w:type="spellEnd"/>
            <w:r w:rsidRPr="00715558">
              <w:rPr>
                <w:rFonts w:ascii="Arial" w:hAnsi="Arial" w:cs="Arial"/>
                <w:sz w:val="20"/>
                <w:szCs w:val="20"/>
              </w:rPr>
              <w:t xml:space="preserve"> Irene </w:t>
            </w:r>
            <w:proofErr w:type="spellStart"/>
            <w:r w:rsidRPr="00715558">
              <w:rPr>
                <w:rFonts w:ascii="Arial" w:hAnsi="Arial" w:cs="Arial"/>
                <w:sz w:val="20"/>
                <w:szCs w:val="20"/>
              </w:rPr>
              <w:t>Sta</w:t>
            </w:r>
            <w:proofErr w:type="spellEnd"/>
            <w:r w:rsidRPr="00715558">
              <w:rPr>
                <w:rFonts w:ascii="Arial" w:hAnsi="Arial" w:cs="Arial"/>
                <w:sz w:val="20"/>
                <w:szCs w:val="20"/>
              </w:rPr>
              <w:t xml:space="preserve"> Matilde</w:t>
            </w:r>
          </w:p>
        </w:tc>
        <w:tc>
          <w:tcPr>
            <w:tcW w:w="1238"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Palmilla</w:t>
            </w:r>
          </w:p>
        </w:tc>
        <w:tc>
          <w:tcPr>
            <w:tcW w:w="1695"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As</w:t>
            </w:r>
          </w:p>
        </w:tc>
        <w:tc>
          <w:tcPr>
            <w:tcW w:w="1694"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Conformidad</w:t>
            </w:r>
          </w:p>
        </w:tc>
        <w:tc>
          <w:tcPr>
            <w:tcW w:w="1708" w:type="dxa"/>
          </w:tcPr>
          <w:p w:rsidR="00CC0F03" w:rsidRPr="00715558" w:rsidRDefault="00CC0F03" w:rsidP="00004C27">
            <w:pPr>
              <w:jc w:val="center"/>
              <w:rPr>
                <w:rFonts w:ascii="Arial" w:hAnsi="Arial" w:cs="Arial"/>
                <w:sz w:val="20"/>
                <w:szCs w:val="20"/>
              </w:rPr>
            </w:pPr>
            <w:r w:rsidRPr="00715558">
              <w:rPr>
                <w:rFonts w:ascii="Arial" w:hAnsi="Arial" w:cs="Arial"/>
                <w:sz w:val="20"/>
                <w:szCs w:val="20"/>
              </w:rPr>
              <w:t>-</w:t>
            </w:r>
          </w:p>
        </w:tc>
      </w:tr>
      <w:tr w:rsidR="00A84916" w:rsidRPr="009D2DC3" w:rsidTr="00004C27">
        <w:tc>
          <w:tcPr>
            <w:tcW w:w="441" w:type="dxa"/>
          </w:tcPr>
          <w:p w:rsidR="00CC0F03" w:rsidRPr="009D2DC3" w:rsidRDefault="00CC0F03" w:rsidP="00004C27">
            <w:pPr>
              <w:jc w:val="both"/>
              <w:rPr>
                <w:rFonts w:ascii="Arial" w:hAnsi="Arial" w:cs="Arial"/>
                <w:sz w:val="20"/>
                <w:szCs w:val="20"/>
              </w:rPr>
            </w:pPr>
            <w:r w:rsidRPr="009D2DC3">
              <w:rPr>
                <w:rFonts w:ascii="Arial" w:hAnsi="Arial" w:cs="Arial"/>
                <w:sz w:val="20"/>
                <w:szCs w:val="20"/>
              </w:rPr>
              <w:t>14</w:t>
            </w:r>
          </w:p>
        </w:tc>
        <w:tc>
          <w:tcPr>
            <w:tcW w:w="2155" w:type="dxa"/>
          </w:tcPr>
          <w:p w:rsidR="00CC0F03" w:rsidRPr="00715558" w:rsidRDefault="00CC0F03" w:rsidP="00004C27">
            <w:pPr>
              <w:jc w:val="both"/>
              <w:rPr>
                <w:rFonts w:ascii="Arial" w:hAnsi="Arial" w:cs="Arial"/>
                <w:sz w:val="20"/>
                <w:szCs w:val="20"/>
              </w:rPr>
            </w:pPr>
            <w:proofErr w:type="spellStart"/>
            <w:r w:rsidRPr="00715558">
              <w:rPr>
                <w:rFonts w:ascii="Arial" w:hAnsi="Arial" w:cs="Arial"/>
                <w:sz w:val="20"/>
                <w:szCs w:val="20"/>
              </w:rPr>
              <w:t>Chacayes</w:t>
            </w:r>
            <w:proofErr w:type="spellEnd"/>
          </w:p>
        </w:tc>
        <w:tc>
          <w:tcPr>
            <w:tcW w:w="1238" w:type="dxa"/>
          </w:tcPr>
          <w:p w:rsidR="00CC0F03" w:rsidRPr="00715558" w:rsidRDefault="00CC0F03" w:rsidP="00004C27">
            <w:pPr>
              <w:jc w:val="both"/>
              <w:rPr>
                <w:rFonts w:ascii="Arial" w:hAnsi="Arial" w:cs="Arial"/>
                <w:sz w:val="20"/>
                <w:szCs w:val="20"/>
              </w:rPr>
            </w:pPr>
            <w:proofErr w:type="spellStart"/>
            <w:r w:rsidRPr="00715558">
              <w:rPr>
                <w:rFonts w:ascii="Arial" w:hAnsi="Arial" w:cs="Arial"/>
                <w:sz w:val="20"/>
                <w:szCs w:val="20"/>
              </w:rPr>
              <w:t>Machali</w:t>
            </w:r>
            <w:proofErr w:type="spellEnd"/>
          </w:p>
        </w:tc>
        <w:tc>
          <w:tcPr>
            <w:tcW w:w="1695"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As</w:t>
            </w:r>
          </w:p>
        </w:tc>
        <w:tc>
          <w:tcPr>
            <w:tcW w:w="1694" w:type="dxa"/>
          </w:tcPr>
          <w:p w:rsidR="00CC0F03" w:rsidRPr="00715558" w:rsidRDefault="00CC0F03" w:rsidP="00004C27">
            <w:pPr>
              <w:jc w:val="both"/>
              <w:rPr>
                <w:rFonts w:ascii="Arial" w:hAnsi="Arial" w:cs="Arial"/>
                <w:sz w:val="20"/>
                <w:szCs w:val="20"/>
              </w:rPr>
            </w:pPr>
            <w:r w:rsidRPr="00715558">
              <w:rPr>
                <w:rFonts w:ascii="Arial" w:hAnsi="Arial" w:cs="Arial"/>
                <w:sz w:val="20"/>
                <w:szCs w:val="20"/>
              </w:rPr>
              <w:t>Conformidad</w:t>
            </w:r>
          </w:p>
        </w:tc>
        <w:tc>
          <w:tcPr>
            <w:tcW w:w="1708" w:type="dxa"/>
          </w:tcPr>
          <w:p w:rsidR="00CC0F03" w:rsidRPr="00715558" w:rsidRDefault="00CC0F03" w:rsidP="00004C27">
            <w:pPr>
              <w:jc w:val="center"/>
              <w:rPr>
                <w:rFonts w:ascii="Arial" w:hAnsi="Arial" w:cs="Arial"/>
                <w:sz w:val="20"/>
                <w:szCs w:val="20"/>
              </w:rPr>
            </w:pPr>
            <w:r w:rsidRPr="00715558">
              <w:rPr>
                <w:rFonts w:ascii="Arial" w:hAnsi="Arial" w:cs="Arial"/>
                <w:sz w:val="20"/>
                <w:szCs w:val="20"/>
              </w:rPr>
              <w:t>-</w:t>
            </w:r>
          </w:p>
        </w:tc>
      </w:tr>
    </w:tbl>
    <w:p w:rsidR="00CC0F03" w:rsidRDefault="00CC0F03" w:rsidP="00CC0F03">
      <w:pPr>
        <w:ind w:firstLine="708"/>
        <w:jc w:val="both"/>
        <w:rPr>
          <w:rFonts w:ascii="Arial" w:hAnsi="Arial" w:cs="Arial"/>
          <w:sz w:val="20"/>
          <w:szCs w:val="20"/>
        </w:rPr>
      </w:pPr>
    </w:p>
    <w:p w:rsidR="00552438" w:rsidRPr="009D2DC3" w:rsidRDefault="00552438" w:rsidP="00CC0F03">
      <w:pPr>
        <w:ind w:firstLine="708"/>
        <w:jc w:val="both"/>
        <w:rPr>
          <w:rFonts w:ascii="Arial" w:hAnsi="Arial" w:cs="Arial"/>
          <w:sz w:val="20"/>
          <w:szCs w:val="20"/>
        </w:rPr>
      </w:pPr>
    </w:p>
    <w:p w:rsidR="00CC0F03" w:rsidRPr="004014F0" w:rsidRDefault="00CC0F03" w:rsidP="00CC0F03">
      <w:pPr>
        <w:ind w:firstLine="708"/>
        <w:jc w:val="both"/>
        <w:rPr>
          <w:rFonts w:ascii="Arial" w:hAnsi="Arial" w:cs="Arial"/>
        </w:rPr>
      </w:pPr>
      <w:r>
        <w:rPr>
          <w:rFonts w:ascii="Arial" w:hAnsi="Arial" w:cs="Arial"/>
        </w:rPr>
        <w:t xml:space="preserve">La constatación de gérmenes del grupo </w:t>
      </w:r>
      <w:proofErr w:type="spellStart"/>
      <w:r>
        <w:rPr>
          <w:rFonts w:ascii="Arial" w:hAnsi="Arial" w:cs="Arial"/>
        </w:rPr>
        <w:t>Coliformes</w:t>
      </w:r>
      <w:proofErr w:type="spellEnd"/>
      <w:r>
        <w:rPr>
          <w:rFonts w:ascii="Arial" w:hAnsi="Arial" w:cs="Arial"/>
        </w:rPr>
        <w:t xml:space="preserve"> Fecales, se evidenció en las </w:t>
      </w:r>
      <w:proofErr w:type="spellStart"/>
      <w:r>
        <w:rPr>
          <w:rFonts w:ascii="Arial" w:hAnsi="Arial" w:cs="Arial"/>
        </w:rPr>
        <w:t>APRs</w:t>
      </w:r>
      <w:proofErr w:type="spellEnd"/>
      <w:r>
        <w:rPr>
          <w:rFonts w:ascii="Arial" w:hAnsi="Arial" w:cs="Arial"/>
        </w:rPr>
        <w:t xml:space="preserve"> Las Peñas El Llano y La </w:t>
      </w:r>
      <w:proofErr w:type="spellStart"/>
      <w:r>
        <w:rPr>
          <w:rFonts w:ascii="Arial" w:hAnsi="Arial" w:cs="Arial"/>
        </w:rPr>
        <w:t>Gonzalina</w:t>
      </w:r>
      <w:proofErr w:type="spellEnd"/>
      <w:r>
        <w:rPr>
          <w:rFonts w:ascii="Arial" w:hAnsi="Arial" w:cs="Arial"/>
        </w:rPr>
        <w:t xml:space="preserve">, la primera de ellas, se constató presencia de la bacteria del tipo </w:t>
      </w:r>
      <w:proofErr w:type="spellStart"/>
      <w:r>
        <w:rPr>
          <w:rFonts w:ascii="Arial" w:hAnsi="Arial" w:cs="Arial"/>
        </w:rPr>
        <w:t>Escherichia</w:t>
      </w:r>
      <w:proofErr w:type="spellEnd"/>
      <w:r>
        <w:rPr>
          <w:rFonts w:ascii="Arial" w:hAnsi="Arial" w:cs="Arial"/>
        </w:rPr>
        <w:t xml:space="preserve">, constituyendo riesgo directo a las 1.324 personas que la consumieron, de contraer enfermedades </w:t>
      </w:r>
      <w:proofErr w:type="spellStart"/>
      <w:r>
        <w:rPr>
          <w:rFonts w:ascii="Arial" w:hAnsi="Arial" w:cs="Arial"/>
        </w:rPr>
        <w:t>gastroentéricas</w:t>
      </w:r>
      <w:proofErr w:type="spellEnd"/>
      <w:r>
        <w:rPr>
          <w:rFonts w:ascii="Arial" w:hAnsi="Arial" w:cs="Arial"/>
        </w:rPr>
        <w:t xml:space="preserve">.   </w:t>
      </w:r>
      <w:r w:rsidRPr="00153E72">
        <w:rPr>
          <w:rFonts w:ascii="Arial" w:hAnsi="Arial" w:cs="Arial"/>
        </w:rPr>
        <w:t xml:space="preserve">En días posteriores, se volvió a realizar </w:t>
      </w:r>
      <w:proofErr w:type="spellStart"/>
      <w:r w:rsidRPr="00153E72">
        <w:rPr>
          <w:rFonts w:ascii="Arial" w:hAnsi="Arial" w:cs="Arial"/>
        </w:rPr>
        <w:t>remuestreos</w:t>
      </w:r>
      <w:proofErr w:type="spellEnd"/>
      <w:r w:rsidRPr="00153E72">
        <w:rPr>
          <w:rFonts w:ascii="Arial" w:hAnsi="Arial" w:cs="Arial"/>
        </w:rPr>
        <w:t xml:space="preserve"> de agua</w:t>
      </w:r>
      <w:r>
        <w:rPr>
          <w:rFonts w:ascii="Arial" w:hAnsi="Arial" w:cs="Arial"/>
        </w:rPr>
        <w:t xml:space="preserve"> en ambas </w:t>
      </w:r>
      <w:proofErr w:type="spellStart"/>
      <w:r>
        <w:rPr>
          <w:rFonts w:ascii="Arial" w:hAnsi="Arial" w:cs="Arial"/>
        </w:rPr>
        <w:t>APRs</w:t>
      </w:r>
      <w:proofErr w:type="spellEnd"/>
      <w:r w:rsidRPr="00153E72">
        <w:rPr>
          <w:rFonts w:ascii="Arial" w:hAnsi="Arial" w:cs="Arial"/>
        </w:rPr>
        <w:t xml:space="preserve">, verificándose en los nuevos resultados, Conformidad Microbiológica en </w:t>
      </w:r>
      <w:r>
        <w:rPr>
          <w:rFonts w:ascii="Arial" w:hAnsi="Arial" w:cs="Arial"/>
        </w:rPr>
        <w:t>ambas</w:t>
      </w:r>
      <w:r w:rsidRPr="00153E72">
        <w:rPr>
          <w:rFonts w:ascii="Arial" w:hAnsi="Arial" w:cs="Arial"/>
        </w:rPr>
        <w:t xml:space="preserve">, lo cual hubo </w:t>
      </w:r>
      <w:r w:rsidRPr="004014F0">
        <w:rPr>
          <w:rFonts w:ascii="Arial" w:hAnsi="Arial" w:cs="Arial"/>
        </w:rPr>
        <w:t>una disminución del riesgo a las personas.</w:t>
      </w:r>
    </w:p>
    <w:p w:rsidR="00CC0F03" w:rsidRDefault="00CC0F03" w:rsidP="00CC0F03">
      <w:pPr>
        <w:ind w:firstLine="708"/>
        <w:jc w:val="both"/>
        <w:rPr>
          <w:rFonts w:ascii="Arial" w:hAnsi="Arial" w:cs="Arial"/>
          <w:lang w:val="pt-PT"/>
        </w:rPr>
      </w:pPr>
      <w:r>
        <w:rPr>
          <w:rFonts w:ascii="Arial" w:hAnsi="Arial" w:cs="Arial"/>
          <w:lang w:val="pt-PT"/>
        </w:rPr>
        <w:t>Los elementos con alteraciones Físico Químicos son:</w:t>
      </w:r>
      <w:proofErr w:type="gramStart"/>
      <w:r>
        <w:rPr>
          <w:rFonts w:ascii="Arial" w:hAnsi="Arial" w:cs="Arial"/>
          <w:lang w:val="pt-PT"/>
        </w:rPr>
        <w:t xml:space="preserve">  </w:t>
      </w:r>
      <w:proofErr w:type="gramEnd"/>
      <w:r>
        <w:rPr>
          <w:rFonts w:ascii="Arial" w:hAnsi="Arial" w:cs="Arial"/>
          <w:lang w:val="pt-PT"/>
        </w:rPr>
        <w:t>Manganeso, Fierro, Turbiedad, ph, Arsenico, persistiendo las No Conformidades en los remuestreos, siendo las APRs: Las Viñas del Potrero (Mn), Calvario Querelema (Fe), Chanqueahue (pH), Cahuil (Mn), Roma Los Lingues (pH), Cutemu (Color).</w:t>
      </w:r>
    </w:p>
    <w:p w:rsidR="00CC0F03" w:rsidRDefault="00CC0F03" w:rsidP="00CC0F03">
      <w:pPr>
        <w:ind w:firstLine="708"/>
        <w:jc w:val="both"/>
        <w:rPr>
          <w:rFonts w:ascii="Arial" w:hAnsi="Arial" w:cs="Arial"/>
          <w:lang w:val="pt-PT"/>
        </w:rPr>
      </w:pPr>
      <w:r w:rsidRPr="004014F0">
        <w:rPr>
          <w:rFonts w:ascii="Arial" w:hAnsi="Arial" w:cs="Arial"/>
          <w:lang w:val="pt-PT"/>
        </w:rPr>
        <w:t>El elemento Manganeso en las APRs Cahuil</w:t>
      </w:r>
      <w:r>
        <w:rPr>
          <w:rFonts w:ascii="Arial" w:hAnsi="Arial" w:cs="Arial"/>
          <w:lang w:val="pt-PT"/>
        </w:rPr>
        <w:t xml:space="preserve">, </w:t>
      </w:r>
      <w:r w:rsidRPr="004014F0">
        <w:rPr>
          <w:rFonts w:ascii="Arial" w:hAnsi="Arial" w:cs="Arial"/>
          <w:lang w:val="pt-PT"/>
        </w:rPr>
        <w:t>Calvario Querelema</w:t>
      </w:r>
      <w:r>
        <w:rPr>
          <w:rFonts w:ascii="Arial" w:hAnsi="Arial" w:cs="Arial"/>
          <w:lang w:val="pt-PT"/>
        </w:rPr>
        <w:t>, Cutemu La Quebrada,</w:t>
      </w:r>
      <w:r w:rsidRPr="004014F0">
        <w:rPr>
          <w:rFonts w:ascii="Arial" w:hAnsi="Arial" w:cs="Arial"/>
          <w:lang w:val="pt-PT"/>
        </w:rPr>
        <w:t xml:space="preserve"> en concentraciones por sobre lo reglamentado, permaneci</w:t>
      </w:r>
      <w:r>
        <w:rPr>
          <w:rFonts w:ascii="Arial" w:hAnsi="Arial" w:cs="Arial"/>
          <w:lang w:val="pt-PT"/>
        </w:rPr>
        <w:t>endo</w:t>
      </w:r>
      <w:r w:rsidRPr="004014F0">
        <w:rPr>
          <w:rFonts w:ascii="Arial" w:hAnsi="Arial" w:cs="Arial"/>
          <w:lang w:val="pt-PT"/>
        </w:rPr>
        <w:t xml:space="preserve"> durante años con </w:t>
      </w:r>
      <w:proofErr w:type="gramStart"/>
      <w:r w:rsidRPr="004014F0">
        <w:rPr>
          <w:rFonts w:ascii="Arial" w:hAnsi="Arial" w:cs="Arial"/>
          <w:lang w:val="pt-PT"/>
        </w:rPr>
        <w:t>la</w:t>
      </w:r>
      <w:proofErr w:type="gramEnd"/>
      <w:r w:rsidRPr="004014F0">
        <w:rPr>
          <w:rFonts w:ascii="Arial" w:hAnsi="Arial" w:cs="Arial"/>
          <w:lang w:val="pt-PT"/>
        </w:rPr>
        <w:t xml:space="preserve"> misma condición,  sin que se tomen las debidas medidas para superar el problema, estos Comités de Agua Potable Rural, cuenta con filtros de abatimiento, sin embargo no están cumpliendo su labor de retener particulas, lo que lleva a pensar que podría ser el origen del problema, la fatiga de material del filtro, retrolavados poco frecuentes, no uso de productos quimicos para precipar partículas de Manganeso.   </w:t>
      </w:r>
    </w:p>
    <w:p w:rsidR="003A46BD" w:rsidRDefault="003A46BD" w:rsidP="00CC0F03">
      <w:pPr>
        <w:ind w:firstLine="708"/>
        <w:jc w:val="both"/>
        <w:rPr>
          <w:rFonts w:ascii="Arial" w:hAnsi="Arial" w:cs="Arial"/>
          <w:lang w:val="pt-PT"/>
        </w:rPr>
      </w:pPr>
    </w:p>
    <w:p w:rsidR="003A46BD" w:rsidRDefault="003A46BD" w:rsidP="00CC0F03">
      <w:pPr>
        <w:ind w:firstLine="708"/>
        <w:jc w:val="both"/>
        <w:rPr>
          <w:rFonts w:ascii="Arial" w:hAnsi="Arial" w:cs="Arial"/>
          <w:lang w:val="pt-PT"/>
        </w:rPr>
      </w:pPr>
    </w:p>
    <w:p w:rsidR="003A46BD" w:rsidRDefault="003A46BD" w:rsidP="00CC0F03">
      <w:pPr>
        <w:ind w:firstLine="708"/>
        <w:jc w:val="both"/>
        <w:rPr>
          <w:rFonts w:ascii="Arial" w:hAnsi="Arial" w:cs="Arial"/>
          <w:lang w:val="pt-PT"/>
        </w:rPr>
      </w:pPr>
    </w:p>
    <w:p w:rsidR="00C17A44" w:rsidRDefault="00C17A44" w:rsidP="00CC0F03">
      <w:pPr>
        <w:ind w:firstLine="708"/>
        <w:jc w:val="both"/>
        <w:rPr>
          <w:rFonts w:ascii="Arial" w:hAnsi="Arial" w:cs="Arial"/>
          <w:lang w:val="pt-PT"/>
        </w:rPr>
      </w:pPr>
    </w:p>
    <w:p w:rsidR="003A46BD" w:rsidRDefault="003A46BD" w:rsidP="00CC0F03">
      <w:pPr>
        <w:ind w:firstLine="708"/>
        <w:jc w:val="both"/>
        <w:rPr>
          <w:rFonts w:ascii="Arial" w:hAnsi="Arial" w:cs="Arial"/>
          <w:lang w:val="pt-PT"/>
        </w:rPr>
      </w:pPr>
      <w:bookmarkStart w:id="0" w:name="_GoBack"/>
      <w:bookmarkEnd w:id="0"/>
    </w:p>
    <w:p w:rsidR="003A46BD" w:rsidRPr="004014F0" w:rsidRDefault="003A46BD" w:rsidP="00CC0F03">
      <w:pPr>
        <w:ind w:firstLine="708"/>
        <w:jc w:val="both"/>
        <w:rPr>
          <w:rFonts w:ascii="Arial" w:hAnsi="Arial" w:cs="Arial"/>
        </w:rPr>
      </w:pPr>
    </w:p>
    <w:p w:rsidR="00AA5377" w:rsidRDefault="00CC0F03" w:rsidP="00CC0F03">
      <w:pPr>
        <w:ind w:firstLine="708"/>
        <w:jc w:val="both"/>
        <w:rPr>
          <w:rFonts w:ascii="Arial" w:hAnsi="Arial" w:cs="Arial"/>
        </w:rPr>
      </w:pPr>
      <w:r>
        <w:rPr>
          <w:rFonts w:ascii="Arial" w:hAnsi="Arial" w:cs="Arial"/>
        </w:rPr>
        <w:t xml:space="preserve">La detección de elementos Químicos mencionados, tales como Manganeso presente en el agua, en concentración natural por sobre el máximo indicado en la normativa; de 0.1 mg/l, de acuerdo a información disponible, la ingesta de bajas concentraciones, no reviste “Riesgo Inminente” para la salud de las personas,  presentando más bien, problemas estéticos por la coloración amarillo café que afecta los artefactos domésticos, en contacto con el agua, así como el teñido de la ropa. </w:t>
      </w:r>
    </w:p>
    <w:p w:rsidR="00CC0F03" w:rsidRDefault="00AA5377" w:rsidP="00CC0F03">
      <w:pPr>
        <w:ind w:firstLine="708"/>
        <w:jc w:val="both"/>
        <w:rPr>
          <w:rFonts w:ascii="Arial" w:hAnsi="Arial" w:cs="Arial"/>
        </w:rPr>
      </w:pPr>
      <w:r>
        <w:rPr>
          <w:rFonts w:ascii="Arial" w:hAnsi="Arial" w:cs="Arial"/>
        </w:rPr>
        <w:t>Todas las No Conformidades de calidad de agua, constituyen infracciones Sanitarias, por lo que se les inició los respectivos Sumarios Sanitarios.    Aparte de lo anterior, todos ellos, serán puestos en el Programa de Vigilancia Sanitaria del año 2020, con el fin de comprobar la superación de las deficiencias.</w:t>
      </w:r>
      <w:r w:rsidR="00CC0F03">
        <w:rPr>
          <w:rFonts w:ascii="Arial" w:hAnsi="Arial" w:cs="Arial"/>
        </w:rPr>
        <w:t xml:space="preserve"> </w:t>
      </w:r>
    </w:p>
    <w:p w:rsidR="00AA5377" w:rsidRDefault="00AA5377" w:rsidP="00CC0F03">
      <w:pPr>
        <w:ind w:firstLine="708"/>
        <w:jc w:val="both"/>
        <w:rPr>
          <w:rFonts w:ascii="Arial" w:hAnsi="Arial" w:cs="Arial"/>
        </w:rPr>
      </w:pPr>
    </w:p>
    <w:p w:rsidR="00CC0F03" w:rsidRDefault="00CC0F03" w:rsidP="00CC0F03">
      <w:pPr>
        <w:jc w:val="both"/>
        <w:rPr>
          <w:rFonts w:ascii="Arial" w:hAnsi="Arial" w:cs="Arial"/>
        </w:rPr>
      </w:pPr>
      <w:r>
        <w:rPr>
          <w:noProof/>
          <w:lang w:eastAsia="es-CL"/>
        </w:rPr>
        <w:drawing>
          <wp:inline distT="0" distB="0" distL="0" distR="0" wp14:anchorId="365DED2D" wp14:editId="4C60AD11">
            <wp:extent cx="2984500" cy="1638300"/>
            <wp:effectExtent l="0" t="0" r="2540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3338E" w:rsidRDefault="00C3338E" w:rsidP="00F02DB3">
      <w:pPr>
        <w:tabs>
          <w:tab w:val="left" w:pos="-1134"/>
          <w:tab w:val="left" w:pos="567"/>
          <w:tab w:val="left" w:pos="709"/>
        </w:tabs>
        <w:kinsoku w:val="0"/>
        <w:overflowPunct w:val="0"/>
        <w:spacing w:after="0"/>
        <w:contextualSpacing/>
        <w:jc w:val="both"/>
        <w:textAlignment w:val="baseline"/>
        <w:rPr>
          <w:rFonts w:ascii="Arial" w:eastAsia="Times New Roman" w:hAnsi="Arial" w:cs="Arial"/>
          <w:lang w:val="pt-PT" w:eastAsia="es-ES"/>
        </w:rPr>
      </w:pPr>
      <w:r w:rsidRPr="00DA5C5A">
        <w:rPr>
          <w:rFonts w:ascii="Arial" w:eastAsia="ヒラギノ角ゴ Pro W3" w:hAnsi="Arial" w:cs="Arial"/>
          <w:kern w:val="24"/>
          <w:lang w:val="es-ES_tradnl" w:eastAsia="es-CL"/>
        </w:rPr>
        <w:t xml:space="preserve"> </w:t>
      </w:r>
    </w:p>
    <w:p w:rsidR="00F02DB3" w:rsidRDefault="00F02DB3" w:rsidP="00F02DB3">
      <w:pPr>
        <w:tabs>
          <w:tab w:val="left" w:pos="-142"/>
          <w:tab w:val="left" w:pos="709"/>
        </w:tabs>
        <w:spacing w:after="0"/>
        <w:jc w:val="both"/>
        <w:rPr>
          <w:rFonts w:ascii="Arial" w:eastAsia="Times New Roman" w:hAnsi="Arial" w:cs="Arial"/>
          <w:lang w:val="pt-PT" w:eastAsia="es-ES"/>
        </w:rPr>
      </w:pPr>
      <w:r w:rsidRPr="00576542">
        <w:rPr>
          <w:rFonts w:ascii="Arial" w:eastAsia="Times New Roman" w:hAnsi="Arial" w:cs="Arial"/>
          <w:lang w:val="pt-PT" w:eastAsia="es-ES"/>
        </w:rPr>
        <w:t xml:space="preserve">         </w:t>
      </w:r>
      <w:r w:rsidRPr="00F02DB3">
        <w:rPr>
          <w:rFonts w:ascii="Arial" w:eastAsia="Times New Roman" w:hAnsi="Arial" w:cs="Arial"/>
          <w:lang w:val="pt-PT" w:eastAsia="es-ES"/>
        </w:rPr>
        <w:t xml:space="preserve">Esta SEREMI de Salud, evaluó las condiciones de Riesgo Sanitario, en Servicios de Agua Potable Rural (APRs) de </w:t>
      </w:r>
      <w:proofErr w:type="gramStart"/>
      <w:r w:rsidRPr="00F02DB3">
        <w:rPr>
          <w:rFonts w:ascii="Arial" w:eastAsia="Times New Roman" w:hAnsi="Arial" w:cs="Arial"/>
          <w:lang w:val="pt-PT" w:eastAsia="es-ES"/>
        </w:rPr>
        <w:t>la</w:t>
      </w:r>
      <w:proofErr w:type="gramEnd"/>
      <w:r w:rsidRPr="00F02DB3">
        <w:rPr>
          <w:rFonts w:ascii="Arial" w:eastAsia="Times New Roman" w:hAnsi="Arial" w:cs="Arial"/>
          <w:lang w:val="pt-PT" w:eastAsia="es-ES"/>
        </w:rPr>
        <w:t xml:space="preserve"> Región, </w:t>
      </w:r>
      <w:r w:rsidRPr="00576542">
        <w:rPr>
          <w:rFonts w:ascii="Arial" w:eastAsia="Times New Roman" w:hAnsi="Arial" w:cs="Arial"/>
          <w:lang w:val="pt-PT" w:eastAsia="es-ES"/>
        </w:rPr>
        <w:t>en Vigilancia Sanitaria, l</w:t>
      </w:r>
      <w:r w:rsidRPr="00F02DB3">
        <w:rPr>
          <w:rFonts w:ascii="Arial" w:eastAsia="Times New Roman" w:hAnsi="Arial" w:cs="Arial"/>
          <w:lang w:val="pt-PT" w:eastAsia="es-ES"/>
        </w:rPr>
        <w:t xml:space="preserve">as actividades de coordinación son fundamentales para controlar situaciones actuales y futuras, toda vez que estos, son abastos que con frecuencia no disponen de capacidad técnica, ni económica, para solucionar problemas relacionados con el diseño, construcción, equipamiento, mantención y operación de las instalaciones, por lo que </w:t>
      </w:r>
      <w:r w:rsidR="008938FF" w:rsidRPr="00576542">
        <w:rPr>
          <w:rFonts w:ascii="Arial" w:eastAsia="Times New Roman" w:hAnsi="Arial" w:cs="Arial"/>
          <w:lang w:val="pt-PT" w:eastAsia="es-ES"/>
        </w:rPr>
        <w:t>coordinación</w:t>
      </w:r>
      <w:r w:rsidRPr="00F02DB3">
        <w:rPr>
          <w:rFonts w:ascii="Arial" w:eastAsia="Times New Roman" w:hAnsi="Arial" w:cs="Arial"/>
          <w:lang w:val="pt-PT" w:eastAsia="es-ES"/>
        </w:rPr>
        <w:t xml:space="preserve"> de otros sectores e instituciones, como </w:t>
      </w:r>
      <w:r w:rsidRPr="00576542">
        <w:rPr>
          <w:rFonts w:ascii="Arial" w:eastAsia="Times New Roman" w:hAnsi="Arial" w:cs="Arial"/>
          <w:lang w:val="pt-PT" w:eastAsia="es-ES"/>
        </w:rPr>
        <w:t>Dirección de Obras Hidraulicas</w:t>
      </w:r>
      <w:r w:rsidR="00576542" w:rsidRPr="00576542">
        <w:rPr>
          <w:rFonts w:ascii="Arial" w:eastAsia="Times New Roman" w:hAnsi="Arial" w:cs="Arial"/>
          <w:lang w:val="pt-PT" w:eastAsia="es-ES"/>
        </w:rPr>
        <w:t xml:space="preserve"> (DOH)</w:t>
      </w:r>
      <w:r w:rsidRPr="00576542">
        <w:rPr>
          <w:rFonts w:ascii="Arial" w:eastAsia="Times New Roman" w:hAnsi="Arial" w:cs="Arial"/>
          <w:lang w:val="pt-PT" w:eastAsia="es-ES"/>
        </w:rPr>
        <w:t>, del MOP,re</w:t>
      </w:r>
      <w:r w:rsidRPr="00F02DB3">
        <w:rPr>
          <w:rFonts w:ascii="Arial" w:eastAsia="Times New Roman" w:hAnsi="Arial" w:cs="Arial"/>
          <w:lang w:val="pt-PT" w:eastAsia="es-ES"/>
        </w:rPr>
        <w:t>sultará de particular importancia</w:t>
      </w:r>
      <w:r w:rsidR="00576542" w:rsidRPr="00576542">
        <w:rPr>
          <w:rFonts w:ascii="Arial" w:eastAsia="Times New Roman" w:hAnsi="Arial" w:cs="Arial"/>
          <w:lang w:val="pt-PT" w:eastAsia="es-ES"/>
        </w:rPr>
        <w:t>, toda vez que esta institución, es la responsable de otorgar asesoría a las organizaciones de APR</w:t>
      </w:r>
      <w:r w:rsidRPr="00F02DB3">
        <w:rPr>
          <w:rFonts w:ascii="Arial" w:eastAsia="Times New Roman" w:hAnsi="Arial" w:cs="Arial"/>
          <w:lang w:val="pt-PT" w:eastAsia="es-ES"/>
        </w:rPr>
        <w:t xml:space="preserve">. </w:t>
      </w:r>
    </w:p>
    <w:p w:rsidR="00715558" w:rsidRDefault="00715558" w:rsidP="00F02DB3">
      <w:pPr>
        <w:tabs>
          <w:tab w:val="left" w:pos="-142"/>
          <w:tab w:val="left" w:pos="709"/>
        </w:tabs>
        <w:spacing w:after="0"/>
        <w:jc w:val="both"/>
        <w:rPr>
          <w:rFonts w:ascii="Arial" w:eastAsia="Times New Roman" w:hAnsi="Arial" w:cs="Arial"/>
          <w:lang w:val="pt-PT" w:eastAsia="es-ES"/>
        </w:rPr>
      </w:pPr>
    </w:p>
    <w:p w:rsidR="00715558" w:rsidRDefault="00715558" w:rsidP="00F02DB3">
      <w:pPr>
        <w:tabs>
          <w:tab w:val="left" w:pos="-142"/>
          <w:tab w:val="left" w:pos="709"/>
        </w:tabs>
        <w:spacing w:after="0"/>
        <w:jc w:val="both"/>
        <w:rPr>
          <w:rFonts w:ascii="Arial" w:eastAsia="Times New Roman" w:hAnsi="Arial" w:cs="Arial"/>
          <w:lang w:val="pt-PT" w:eastAsia="es-ES"/>
        </w:rPr>
      </w:pPr>
    </w:p>
    <w:p w:rsidR="00715558" w:rsidRDefault="00715558" w:rsidP="00F02DB3">
      <w:pPr>
        <w:tabs>
          <w:tab w:val="left" w:pos="-142"/>
          <w:tab w:val="left" w:pos="709"/>
        </w:tabs>
        <w:spacing w:after="0"/>
        <w:jc w:val="both"/>
        <w:rPr>
          <w:rFonts w:ascii="Arial" w:eastAsia="Times New Roman" w:hAnsi="Arial" w:cs="Arial"/>
          <w:lang w:val="pt-PT" w:eastAsia="es-ES"/>
        </w:rPr>
      </w:pPr>
    </w:p>
    <w:p w:rsidR="00715558" w:rsidRDefault="00715558" w:rsidP="00F02DB3">
      <w:pPr>
        <w:tabs>
          <w:tab w:val="left" w:pos="-142"/>
          <w:tab w:val="left" w:pos="709"/>
        </w:tabs>
        <w:spacing w:after="0"/>
        <w:jc w:val="both"/>
        <w:rPr>
          <w:rFonts w:ascii="Arial" w:eastAsia="Times New Roman" w:hAnsi="Arial" w:cs="Arial"/>
          <w:lang w:val="pt-PT" w:eastAsia="es-ES"/>
        </w:rPr>
      </w:pPr>
    </w:p>
    <w:p w:rsidR="00715558" w:rsidRDefault="00715558" w:rsidP="00F02DB3">
      <w:pPr>
        <w:tabs>
          <w:tab w:val="left" w:pos="-142"/>
          <w:tab w:val="left" w:pos="709"/>
        </w:tabs>
        <w:spacing w:after="0"/>
        <w:jc w:val="both"/>
        <w:rPr>
          <w:rFonts w:ascii="Arial" w:eastAsia="Times New Roman" w:hAnsi="Arial" w:cs="Arial"/>
          <w:lang w:val="pt-PT" w:eastAsia="es-ES"/>
        </w:rPr>
      </w:pPr>
    </w:p>
    <w:p w:rsidR="00715558" w:rsidRDefault="00715558" w:rsidP="00F02DB3">
      <w:pPr>
        <w:tabs>
          <w:tab w:val="left" w:pos="-142"/>
          <w:tab w:val="left" w:pos="709"/>
        </w:tabs>
        <w:spacing w:after="0"/>
        <w:jc w:val="both"/>
        <w:rPr>
          <w:rFonts w:ascii="Arial" w:eastAsia="Times New Roman" w:hAnsi="Arial" w:cs="Arial"/>
          <w:lang w:val="pt-PT" w:eastAsia="es-ES"/>
        </w:rPr>
      </w:pPr>
    </w:p>
    <w:p w:rsidR="00715558" w:rsidRDefault="00715558" w:rsidP="00F02DB3">
      <w:pPr>
        <w:tabs>
          <w:tab w:val="left" w:pos="-142"/>
          <w:tab w:val="left" w:pos="709"/>
        </w:tabs>
        <w:spacing w:after="0"/>
        <w:jc w:val="both"/>
        <w:rPr>
          <w:rFonts w:ascii="Arial" w:eastAsia="Times New Roman" w:hAnsi="Arial" w:cs="Arial"/>
          <w:lang w:val="pt-PT" w:eastAsia="es-ES"/>
        </w:rPr>
      </w:pPr>
    </w:p>
    <w:p w:rsidR="00715558" w:rsidRDefault="00715558" w:rsidP="00F02DB3">
      <w:pPr>
        <w:tabs>
          <w:tab w:val="left" w:pos="-142"/>
          <w:tab w:val="left" w:pos="709"/>
        </w:tabs>
        <w:spacing w:after="0"/>
        <w:jc w:val="both"/>
        <w:rPr>
          <w:rFonts w:ascii="Arial" w:eastAsia="Times New Roman" w:hAnsi="Arial" w:cs="Arial"/>
          <w:lang w:val="pt-PT" w:eastAsia="es-ES"/>
        </w:rPr>
      </w:pPr>
    </w:p>
    <w:p w:rsidR="00715558" w:rsidRDefault="00715558" w:rsidP="00F02DB3">
      <w:pPr>
        <w:tabs>
          <w:tab w:val="left" w:pos="-142"/>
          <w:tab w:val="left" w:pos="709"/>
        </w:tabs>
        <w:spacing w:after="0"/>
        <w:jc w:val="both"/>
        <w:rPr>
          <w:rFonts w:ascii="Arial" w:eastAsia="Times New Roman" w:hAnsi="Arial" w:cs="Arial"/>
          <w:lang w:val="pt-PT" w:eastAsia="es-ES"/>
        </w:rPr>
      </w:pPr>
    </w:p>
    <w:p w:rsidR="00552438" w:rsidRDefault="00552438" w:rsidP="00F02DB3">
      <w:pPr>
        <w:tabs>
          <w:tab w:val="left" w:pos="-142"/>
          <w:tab w:val="left" w:pos="709"/>
        </w:tabs>
        <w:spacing w:after="0"/>
        <w:jc w:val="both"/>
        <w:rPr>
          <w:rFonts w:ascii="Arial" w:eastAsia="Times New Roman" w:hAnsi="Arial" w:cs="Arial"/>
          <w:lang w:val="pt-PT" w:eastAsia="es-ES"/>
        </w:rPr>
      </w:pPr>
    </w:p>
    <w:p w:rsidR="00715558" w:rsidRPr="00F02DB3" w:rsidRDefault="00715558" w:rsidP="00F02DB3">
      <w:pPr>
        <w:tabs>
          <w:tab w:val="left" w:pos="-142"/>
          <w:tab w:val="left" w:pos="709"/>
        </w:tabs>
        <w:spacing w:after="0"/>
        <w:jc w:val="both"/>
        <w:rPr>
          <w:rFonts w:ascii="Arial" w:eastAsia="Times New Roman" w:hAnsi="Arial" w:cs="Arial"/>
          <w:lang w:val="pt-PT" w:eastAsia="es-ES"/>
        </w:rPr>
      </w:pPr>
    </w:p>
    <w:p w:rsidR="00F02DB3" w:rsidRPr="00F02DB3" w:rsidRDefault="00F02DB3" w:rsidP="00F02DB3">
      <w:pPr>
        <w:tabs>
          <w:tab w:val="left" w:pos="-142"/>
        </w:tabs>
        <w:spacing w:after="0"/>
        <w:ind w:firstLine="851"/>
        <w:jc w:val="both"/>
        <w:rPr>
          <w:rFonts w:ascii="Arial" w:eastAsia="Times New Roman" w:hAnsi="Arial" w:cs="Arial"/>
          <w:lang w:val="pt-PT" w:eastAsia="es-ES"/>
        </w:rPr>
      </w:pPr>
    </w:p>
    <w:p w:rsidR="00F02DB3" w:rsidRPr="00F02DB3" w:rsidRDefault="00576542" w:rsidP="00F02DB3">
      <w:pPr>
        <w:ind w:firstLine="851"/>
        <w:contextualSpacing/>
        <w:jc w:val="both"/>
        <w:rPr>
          <w:rFonts w:ascii="Arial" w:eastAsia="Times New Roman" w:hAnsi="Arial" w:cs="Arial"/>
          <w:color w:val="000000"/>
          <w:lang w:val="es-MX" w:eastAsia="es-ES"/>
        </w:rPr>
      </w:pPr>
      <w:r w:rsidRPr="00576542">
        <w:rPr>
          <w:rFonts w:ascii="Arial" w:eastAsia="Times New Roman" w:hAnsi="Arial" w:cs="Arial"/>
          <w:lang w:val="pt-PT" w:eastAsia="es-ES"/>
        </w:rPr>
        <w:t>E</w:t>
      </w:r>
      <w:r w:rsidR="00F02DB3" w:rsidRPr="00F02DB3">
        <w:rPr>
          <w:rFonts w:ascii="Arial" w:eastAsia="Times New Roman" w:hAnsi="Arial" w:cs="Arial"/>
          <w:lang w:val="pt-PT" w:eastAsia="es-ES"/>
        </w:rPr>
        <w:t xml:space="preserve">sta Autoridad Sanitaria, desempeña un rol crucial </w:t>
      </w:r>
      <w:proofErr w:type="gramStart"/>
      <w:r w:rsidR="00F02DB3" w:rsidRPr="00F02DB3">
        <w:rPr>
          <w:rFonts w:ascii="Arial" w:eastAsia="Times New Roman" w:hAnsi="Arial" w:cs="Arial"/>
          <w:lang w:val="pt-PT" w:eastAsia="es-ES"/>
        </w:rPr>
        <w:t>al</w:t>
      </w:r>
      <w:proofErr w:type="gramEnd"/>
      <w:r w:rsidR="00F02DB3" w:rsidRPr="00F02DB3">
        <w:rPr>
          <w:rFonts w:ascii="Arial" w:eastAsia="Times New Roman" w:hAnsi="Arial" w:cs="Arial"/>
          <w:lang w:val="pt-PT" w:eastAsia="es-ES"/>
        </w:rPr>
        <w:t xml:space="preserve"> detectar y aportar los antecedentes técnico</w:t>
      </w:r>
      <w:r w:rsidRPr="00576542">
        <w:rPr>
          <w:rFonts w:ascii="Arial" w:eastAsia="Times New Roman" w:hAnsi="Arial" w:cs="Arial"/>
          <w:lang w:val="pt-PT" w:eastAsia="es-ES"/>
        </w:rPr>
        <w:t xml:space="preserve"> a la DOH</w:t>
      </w:r>
      <w:r w:rsidR="00F02DB3" w:rsidRPr="00F02DB3">
        <w:rPr>
          <w:rFonts w:ascii="Arial" w:eastAsia="Times New Roman" w:hAnsi="Arial" w:cs="Arial"/>
          <w:lang w:val="pt-PT" w:eastAsia="es-ES"/>
        </w:rPr>
        <w:t xml:space="preserve">, relativos a las situaciones de Riesgo Sanitario, </w:t>
      </w:r>
      <w:r w:rsidR="00EE142C">
        <w:rPr>
          <w:rFonts w:ascii="Arial" w:eastAsia="Times New Roman" w:hAnsi="Arial" w:cs="Arial"/>
          <w:lang w:val="pt-PT" w:eastAsia="es-ES"/>
        </w:rPr>
        <w:t xml:space="preserve">con el fin de </w:t>
      </w:r>
      <w:r w:rsidR="00F02DB3" w:rsidRPr="00F02DB3">
        <w:rPr>
          <w:rFonts w:ascii="Arial" w:eastAsia="Times New Roman" w:hAnsi="Arial" w:cs="Arial"/>
          <w:lang w:val="pt-PT" w:eastAsia="es-ES"/>
        </w:rPr>
        <w:t xml:space="preserve">promover la inclusión en la agenda regional, y en los programas de inversión, </w:t>
      </w:r>
      <w:r w:rsidR="00EE142C">
        <w:rPr>
          <w:rFonts w:ascii="Arial" w:eastAsia="Times New Roman" w:hAnsi="Arial" w:cs="Arial"/>
          <w:lang w:val="pt-PT" w:eastAsia="es-ES"/>
        </w:rPr>
        <w:t xml:space="preserve">con el propósito de </w:t>
      </w:r>
      <w:r w:rsidR="00F02DB3" w:rsidRPr="00F02DB3">
        <w:rPr>
          <w:rFonts w:ascii="Arial" w:eastAsia="ヒラギノ角ゴ Pro W3" w:hAnsi="Arial" w:cs="Arial"/>
          <w:color w:val="000000"/>
          <w:kern w:val="24"/>
          <w:lang w:val="es-ES_tradnl" w:eastAsia="es-CL"/>
        </w:rPr>
        <w:t xml:space="preserve">obtener los recursos necesarios que permitan la construcción o mejoramiento de los sistemas de </w:t>
      </w:r>
      <w:proofErr w:type="spellStart"/>
      <w:r w:rsidR="00F02DB3" w:rsidRPr="00F02DB3">
        <w:rPr>
          <w:rFonts w:ascii="Arial" w:eastAsia="ヒラギノ角ゴ Pro W3" w:hAnsi="Arial" w:cs="Arial"/>
          <w:color w:val="000000"/>
          <w:kern w:val="24"/>
          <w:lang w:val="es-ES_tradnl" w:eastAsia="es-CL"/>
        </w:rPr>
        <w:t>APRs</w:t>
      </w:r>
      <w:proofErr w:type="spellEnd"/>
      <w:r w:rsidR="00F02DB3" w:rsidRPr="00F02DB3">
        <w:rPr>
          <w:rFonts w:ascii="Arial" w:eastAsia="ヒラギノ角ゴ Pro W3" w:hAnsi="Arial" w:cs="Arial"/>
          <w:color w:val="000000"/>
          <w:kern w:val="24"/>
          <w:lang w:val="es-ES_tradnl" w:eastAsia="es-CL"/>
        </w:rPr>
        <w:t xml:space="preserve">, que fueron clasificados como </w:t>
      </w:r>
      <w:r w:rsidR="00EE142C">
        <w:rPr>
          <w:rFonts w:ascii="Arial" w:eastAsia="ヒラギノ角ゴ Pro W3" w:hAnsi="Arial" w:cs="Arial"/>
          <w:color w:val="000000"/>
          <w:kern w:val="24"/>
          <w:lang w:val="es-ES_tradnl" w:eastAsia="es-CL"/>
        </w:rPr>
        <w:t>mayor vulnerabilidad</w:t>
      </w:r>
      <w:r w:rsidR="00F02DB3" w:rsidRPr="00F02DB3">
        <w:rPr>
          <w:rFonts w:ascii="Arial" w:eastAsia="ヒラギノ角ゴ Pro W3" w:hAnsi="Arial" w:cs="Arial"/>
          <w:color w:val="000000"/>
          <w:kern w:val="24"/>
          <w:lang w:val="es-ES_tradnl" w:eastAsia="es-CL"/>
        </w:rPr>
        <w:t xml:space="preserve"> o de Riesgo Sanitario alto,</w:t>
      </w:r>
      <w:r w:rsidR="00F02DB3" w:rsidRPr="00F02DB3">
        <w:rPr>
          <w:rFonts w:ascii="Arial" w:eastAsia="Times New Roman" w:hAnsi="Arial" w:cs="Arial"/>
          <w:color w:val="000000"/>
          <w:lang w:val="es-MX" w:eastAsia="es-ES"/>
        </w:rPr>
        <w:t xml:space="preserve"> lo que conllevaría a la disminución de los riesgos sanitarios asociados a la operación y manejo de los sistemas de tratamientos y mejorar las condiciones de salud de la población.</w:t>
      </w:r>
    </w:p>
    <w:p w:rsidR="00E54208" w:rsidRDefault="00E54208"/>
    <w:p w:rsidR="00715558" w:rsidRDefault="00715558"/>
    <w:p w:rsidR="00715558" w:rsidRDefault="00715558"/>
    <w:p w:rsidR="00715558" w:rsidRDefault="00715558">
      <w:r>
        <w:tab/>
      </w:r>
      <w:r>
        <w:tab/>
      </w:r>
      <w:r>
        <w:tab/>
      </w:r>
      <w:r>
        <w:tab/>
      </w:r>
      <w:r>
        <w:tab/>
      </w:r>
      <w:r>
        <w:tab/>
      </w:r>
    </w:p>
    <w:p w:rsidR="00715558" w:rsidRDefault="00715558"/>
    <w:p w:rsidR="00715558" w:rsidRDefault="0071555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UNIDAD DE AGUAS</w:t>
      </w:r>
    </w:p>
    <w:p w:rsidR="00715558" w:rsidRDefault="00715558">
      <w:r>
        <w:tab/>
      </w:r>
      <w:r>
        <w:tab/>
      </w:r>
      <w:r>
        <w:tab/>
      </w:r>
      <w:r>
        <w:tab/>
      </w:r>
      <w:r>
        <w:tab/>
      </w:r>
      <w:r>
        <w:tab/>
        <w:t>CONTROL AMBIENTAL</w:t>
      </w:r>
    </w:p>
    <w:sectPr w:rsidR="007155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08"/>
    <w:rsid w:val="00197545"/>
    <w:rsid w:val="00350FDE"/>
    <w:rsid w:val="003A46BD"/>
    <w:rsid w:val="003E7E73"/>
    <w:rsid w:val="00552438"/>
    <w:rsid w:val="00576542"/>
    <w:rsid w:val="00655E0D"/>
    <w:rsid w:val="00715558"/>
    <w:rsid w:val="008938FF"/>
    <w:rsid w:val="009706E9"/>
    <w:rsid w:val="009D2DC3"/>
    <w:rsid w:val="00A84916"/>
    <w:rsid w:val="00AA5377"/>
    <w:rsid w:val="00B47BE7"/>
    <w:rsid w:val="00C17A44"/>
    <w:rsid w:val="00C3338E"/>
    <w:rsid w:val="00CC0F03"/>
    <w:rsid w:val="00E54208"/>
    <w:rsid w:val="00EE142C"/>
    <w:rsid w:val="00F02DB3"/>
    <w:rsid w:val="00F668C2"/>
    <w:rsid w:val="00FE29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F03"/>
    <w:pPr>
      <w:ind w:left="720"/>
      <w:contextualSpacing/>
    </w:pPr>
  </w:style>
  <w:style w:type="table" w:styleId="Tablaconcuadrcula">
    <w:name w:val="Table Grid"/>
    <w:basedOn w:val="Tablanormal"/>
    <w:uiPriority w:val="59"/>
    <w:rsid w:val="00CC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C0F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0F03"/>
    <w:pPr>
      <w:ind w:left="720"/>
      <w:contextualSpacing/>
    </w:pPr>
  </w:style>
  <w:style w:type="table" w:styleId="Tablaconcuadrcula">
    <w:name w:val="Table Grid"/>
    <w:basedOn w:val="Tablanormal"/>
    <w:uiPriority w:val="59"/>
    <w:rsid w:val="00CC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C0F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CALIDAD DEL AGUA</a:t>
            </a:r>
          </a:p>
        </c:rich>
      </c:tx>
      <c:layout>
        <c:manualLayout>
          <c:xMode val="edge"/>
          <c:yMode val="edge"/>
          <c:x val="0.31230859440442282"/>
          <c:y val="4.6511627906976744E-2"/>
        </c:manualLayout>
      </c:layout>
      <c:overlay val="0"/>
    </c:title>
    <c:autoTitleDeleted val="0"/>
    <c:plotArea>
      <c:layout/>
      <c:pieChart>
        <c:varyColors val="1"/>
        <c:ser>
          <c:idx val="0"/>
          <c:order val="0"/>
          <c:tx>
            <c:strRef>
              <c:f>Hoja1!$C$21</c:f>
              <c:strCache>
                <c:ptCount val="1"/>
                <c:pt idx="0">
                  <c:v>%</c:v>
                </c:pt>
              </c:strCache>
            </c:strRef>
          </c:tx>
          <c:dLbls>
            <c:dLbl>
              <c:idx val="0"/>
              <c:layout>
                <c:manualLayout>
                  <c:x val="-7.1751685556759204E-2"/>
                  <c:y val="-0.22603260869565217"/>
                </c:manualLayout>
              </c:layout>
              <c:tx>
                <c:rich>
                  <a:bodyPr/>
                  <a:lstStyle/>
                  <a:p>
                    <a:r>
                      <a:rPr lang="en-US"/>
                      <a:t>Conforme
92.2%</a:t>
                    </a:r>
                  </a:p>
                </c:rich>
              </c:tx>
              <c:showLegendKey val="0"/>
              <c:showVal val="0"/>
              <c:showCatName val="1"/>
              <c:showSerName val="0"/>
              <c:showPercent val="1"/>
              <c:showBubbleSize val="0"/>
            </c:dLbl>
            <c:dLbl>
              <c:idx val="1"/>
              <c:layout>
                <c:manualLayout>
                  <c:x val="-0.11439236052940191"/>
                  <c:y val="0.15550021363608618"/>
                </c:manualLayout>
              </c:layout>
              <c:tx>
                <c:rich>
                  <a:bodyPr/>
                  <a:lstStyle/>
                  <a:p>
                    <a:r>
                      <a:rPr lang="en-US"/>
                      <a:t>No Conforme
3.8%</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Hoja1!$B$22:$B$23</c:f>
              <c:strCache>
                <c:ptCount val="2"/>
                <c:pt idx="0">
                  <c:v>Conforme</c:v>
                </c:pt>
                <c:pt idx="1">
                  <c:v>No Conforme</c:v>
                </c:pt>
              </c:strCache>
            </c:strRef>
          </c:cat>
          <c:val>
            <c:numRef>
              <c:f>Hoja1!$C$22:$C$23</c:f>
              <c:numCache>
                <c:formatCode>General</c:formatCode>
                <c:ptCount val="2"/>
                <c:pt idx="0">
                  <c:v>96.1</c:v>
                </c:pt>
                <c:pt idx="1">
                  <c:v>3.9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46</TotalTime>
  <Pages>5</Pages>
  <Words>1324</Words>
  <Characters>7284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Iriondo</dc:creator>
  <cp:lastModifiedBy>Magdalena Iriondo</cp:lastModifiedBy>
  <cp:revision>27</cp:revision>
  <dcterms:created xsi:type="dcterms:W3CDTF">2019-12-06T17:01:00Z</dcterms:created>
  <dcterms:modified xsi:type="dcterms:W3CDTF">2019-12-06T17:52:00Z</dcterms:modified>
</cp:coreProperties>
</file>